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0584A2" w14:textId="77777777" w:rsidR="00E31327" w:rsidRDefault="00E31327" w:rsidP="00E31327">
      <w:pPr>
        <w:rPr>
          <w:b/>
          <w:sz w:val="28"/>
        </w:rPr>
      </w:pPr>
    </w:p>
    <w:p w14:paraId="54BE0973" w14:textId="77777777" w:rsidR="00E31327" w:rsidRDefault="00E31327" w:rsidP="00E31327">
      <w:pPr>
        <w:jc w:val="center"/>
        <w:rPr>
          <w:b/>
          <w:sz w:val="28"/>
        </w:rPr>
      </w:pPr>
      <w:r>
        <w:rPr>
          <w:b/>
          <w:bCs/>
          <w:noProof/>
          <w:color w:val="0000FF"/>
        </w:rPr>
        <w:drawing>
          <wp:inline distT="0" distB="0" distL="0" distR="0" wp14:anchorId="4EB62041" wp14:editId="3C002FBC">
            <wp:extent cx="2806880" cy="424234"/>
            <wp:effectExtent l="19050" t="0" r="0" b="0"/>
            <wp:docPr id="2" name="Picture 1" descr="C:\Users\ebroad\AppData\Local\Temp\ADA collateral\Logo\PNG\larg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road\AppData\Local\Temp\ADA collateral\Logo\PNG\large_horizontal.png"/>
                    <pic:cNvPicPr>
                      <a:picLocks noChangeAspect="1" noChangeArrowheads="1"/>
                    </pic:cNvPicPr>
                  </pic:nvPicPr>
                  <pic:blipFill>
                    <a:blip r:embed="rId8"/>
                    <a:srcRect/>
                    <a:stretch>
                      <a:fillRect/>
                    </a:stretch>
                  </pic:blipFill>
                  <pic:spPr bwMode="auto">
                    <a:xfrm>
                      <a:off x="0" y="0"/>
                      <a:ext cx="2813958" cy="425304"/>
                    </a:xfrm>
                    <a:prstGeom prst="rect">
                      <a:avLst/>
                    </a:prstGeom>
                    <a:noFill/>
                    <a:ln w="9525">
                      <a:noFill/>
                      <a:miter lim="800000"/>
                      <a:headEnd/>
                      <a:tailEnd/>
                    </a:ln>
                  </pic:spPr>
                </pic:pic>
              </a:graphicData>
            </a:graphic>
          </wp:inline>
        </w:drawing>
      </w:r>
      <w:r>
        <w:rPr>
          <w:b/>
          <w:sz w:val="28"/>
        </w:rPr>
        <w:t xml:space="preserve">         </w:t>
      </w:r>
    </w:p>
    <w:p w14:paraId="197D6F60" w14:textId="77777777" w:rsidR="00E31327" w:rsidRDefault="00E31327" w:rsidP="00E31327">
      <w:pPr>
        <w:jc w:val="center"/>
        <w:rPr>
          <w:b/>
          <w:sz w:val="28"/>
        </w:rPr>
      </w:pPr>
    </w:p>
    <w:p w14:paraId="7C266D3E" w14:textId="77777777" w:rsidR="00E31327" w:rsidRDefault="00E31327" w:rsidP="00E31327">
      <w:pPr>
        <w:jc w:val="center"/>
        <w:rPr>
          <w:b/>
          <w:sz w:val="28"/>
        </w:rPr>
      </w:pPr>
      <w:r>
        <w:rPr>
          <w:b/>
          <w:sz w:val="28"/>
        </w:rPr>
        <w:t xml:space="preserve"> </w:t>
      </w:r>
      <w:r>
        <w:rPr>
          <w:noProof/>
        </w:rPr>
        <w:drawing>
          <wp:inline distT="0" distB="0" distL="0" distR="0" wp14:anchorId="6E341C21" wp14:editId="60282036">
            <wp:extent cx="2579771" cy="478003"/>
            <wp:effectExtent l="19050" t="0" r="0" b="0"/>
            <wp:docPr id="3"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srcRect/>
                    <a:stretch>
                      <a:fillRect/>
                    </a:stretch>
                  </pic:blipFill>
                  <pic:spPr bwMode="auto">
                    <a:xfrm>
                      <a:off x="0" y="0"/>
                      <a:ext cx="2579927" cy="478032"/>
                    </a:xfrm>
                    <a:prstGeom prst="rect">
                      <a:avLst/>
                    </a:prstGeom>
                    <a:noFill/>
                    <a:ln w="9525">
                      <a:noFill/>
                      <a:miter lim="800000"/>
                      <a:headEnd/>
                      <a:tailEnd/>
                    </a:ln>
                  </pic:spPr>
                </pic:pic>
              </a:graphicData>
            </a:graphic>
          </wp:inline>
        </w:drawing>
      </w:r>
    </w:p>
    <w:p w14:paraId="6939ECA4" w14:textId="77777777" w:rsidR="00E31327" w:rsidRDefault="00E31327" w:rsidP="00E31327">
      <w:pPr>
        <w:jc w:val="center"/>
        <w:rPr>
          <w:b/>
          <w:sz w:val="28"/>
        </w:rPr>
      </w:pPr>
    </w:p>
    <w:p w14:paraId="6E383900" w14:textId="77777777" w:rsidR="00E31327" w:rsidRDefault="00E31327" w:rsidP="00E31327">
      <w:pPr>
        <w:jc w:val="center"/>
        <w:rPr>
          <w:b/>
          <w:sz w:val="28"/>
        </w:rPr>
      </w:pPr>
    </w:p>
    <w:p w14:paraId="7DEFA4A4" w14:textId="77777777" w:rsidR="00E31327" w:rsidRDefault="00E31327" w:rsidP="00E31327">
      <w:pPr>
        <w:jc w:val="center"/>
        <w:rPr>
          <w:b/>
          <w:sz w:val="28"/>
        </w:rPr>
      </w:pPr>
    </w:p>
    <w:p w14:paraId="6D8C1A4A" w14:textId="77777777" w:rsidR="00E31327" w:rsidRDefault="00E31327" w:rsidP="00E31327">
      <w:pPr>
        <w:jc w:val="center"/>
        <w:rPr>
          <w:b/>
          <w:sz w:val="28"/>
        </w:rPr>
      </w:pPr>
    </w:p>
    <w:p w14:paraId="32D98CAF" w14:textId="77777777" w:rsidR="00E31327" w:rsidRDefault="00E31327" w:rsidP="00E31327">
      <w:pPr>
        <w:jc w:val="center"/>
        <w:rPr>
          <w:b/>
          <w:sz w:val="28"/>
        </w:rPr>
      </w:pPr>
      <w:r>
        <w:rPr>
          <w:b/>
          <w:sz w:val="28"/>
        </w:rPr>
        <w:t>Australian Law Reform Commission</w:t>
      </w:r>
    </w:p>
    <w:p w14:paraId="5EF6DC88" w14:textId="77777777" w:rsidR="00E31327" w:rsidRDefault="00E31327" w:rsidP="00E31327">
      <w:pPr>
        <w:jc w:val="center"/>
        <w:rPr>
          <w:b/>
          <w:sz w:val="28"/>
        </w:rPr>
      </w:pPr>
      <w:r>
        <w:rPr>
          <w:b/>
          <w:sz w:val="28"/>
        </w:rPr>
        <w:t>Inquiry into:</w:t>
      </w:r>
    </w:p>
    <w:p w14:paraId="3F7727C5" w14:textId="77777777" w:rsidR="00E31327" w:rsidRDefault="00E31327" w:rsidP="00E31327">
      <w:pPr>
        <w:jc w:val="center"/>
        <w:rPr>
          <w:b/>
          <w:sz w:val="28"/>
        </w:rPr>
      </w:pPr>
    </w:p>
    <w:p w14:paraId="593D8CA7" w14:textId="77777777" w:rsidR="00E31327" w:rsidRDefault="00E31327" w:rsidP="00E31327">
      <w:pPr>
        <w:jc w:val="center"/>
        <w:rPr>
          <w:b/>
          <w:i/>
          <w:sz w:val="28"/>
        </w:rPr>
      </w:pPr>
      <w:r>
        <w:rPr>
          <w:b/>
          <w:i/>
          <w:sz w:val="28"/>
        </w:rPr>
        <w:t>Traditional Rights and Freedoms:</w:t>
      </w:r>
    </w:p>
    <w:p w14:paraId="2949C593" w14:textId="77777777" w:rsidR="00E31327" w:rsidRDefault="00E31327" w:rsidP="00E31327">
      <w:pPr>
        <w:jc w:val="center"/>
        <w:rPr>
          <w:b/>
          <w:i/>
          <w:sz w:val="28"/>
        </w:rPr>
      </w:pPr>
      <w:r>
        <w:rPr>
          <w:b/>
          <w:i/>
          <w:sz w:val="28"/>
        </w:rPr>
        <w:t>Encroachment by Commonwealth Laws</w:t>
      </w:r>
    </w:p>
    <w:p w14:paraId="0E2D6941" w14:textId="77777777" w:rsidR="00E31327" w:rsidRDefault="00E31327" w:rsidP="00E31327">
      <w:pPr>
        <w:jc w:val="center"/>
        <w:rPr>
          <w:b/>
          <w:i/>
          <w:sz w:val="28"/>
        </w:rPr>
      </w:pPr>
    </w:p>
    <w:p w14:paraId="7F2B95B6" w14:textId="77777777" w:rsidR="00E31327" w:rsidRDefault="00E31327" w:rsidP="00E31327">
      <w:pPr>
        <w:jc w:val="center"/>
        <w:rPr>
          <w:b/>
          <w:sz w:val="28"/>
        </w:rPr>
      </w:pPr>
      <w:r>
        <w:rPr>
          <w:b/>
          <w:sz w:val="28"/>
        </w:rPr>
        <w:t xml:space="preserve">Submission from the </w:t>
      </w:r>
    </w:p>
    <w:p w14:paraId="461B62AD" w14:textId="77777777" w:rsidR="00E31327" w:rsidRDefault="00E31327" w:rsidP="00E31327">
      <w:pPr>
        <w:jc w:val="center"/>
        <w:rPr>
          <w:b/>
          <w:sz w:val="28"/>
        </w:rPr>
      </w:pPr>
      <w:r>
        <w:rPr>
          <w:b/>
          <w:sz w:val="28"/>
        </w:rPr>
        <w:t>Australian Digital Alliance</w:t>
      </w:r>
    </w:p>
    <w:p w14:paraId="23A54E8E" w14:textId="77777777" w:rsidR="00E31327" w:rsidRDefault="00E31327" w:rsidP="00E31327">
      <w:pPr>
        <w:jc w:val="center"/>
        <w:rPr>
          <w:b/>
          <w:sz w:val="28"/>
        </w:rPr>
      </w:pPr>
      <w:r>
        <w:rPr>
          <w:b/>
          <w:sz w:val="28"/>
        </w:rPr>
        <w:t xml:space="preserve">And </w:t>
      </w:r>
    </w:p>
    <w:p w14:paraId="17C370E9" w14:textId="77777777" w:rsidR="00E31327" w:rsidRPr="00043786" w:rsidRDefault="00E31327" w:rsidP="00E31327">
      <w:pPr>
        <w:jc w:val="center"/>
        <w:rPr>
          <w:b/>
          <w:sz w:val="28"/>
        </w:rPr>
      </w:pPr>
      <w:r>
        <w:rPr>
          <w:b/>
          <w:sz w:val="28"/>
        </w:rPr>
        <w:t>The Australian Libraries Copyright Committee</w:t>
      </w:r>
    </w:p>
    <w:p w14:paraId="3FCF4D85" w14:textId="77777777" w:rsidR="00E31327" w:rsidRDefault="00E31327">
      <w:pPr>
        <w:rPr>
          <w:b/>
          <w:sz w:val="28"/>
        </w:rPr>
      </w:pPr>
      <w:r>
        <w:rPr>
          <w:b/>
          <w:sz w:val="28"/>
        </w:rPr>
        <w:br w:type="page"/>
      </w:r>
    </w:p>
    <w:p w14:paraId="0EDDCDF9" w14:textId="77777777" w:rsidR="00E31327" w:rsidRDefault="00E31327" w:rsidP="00E31327">
      <w:pPr>
        <w:jc w:val="center"/>
        <w:rPr>
          <w:b/>
          <w:sz w:val="28"/>
        </w:rPr>
      </w:pPr>
    </w:p>
    <w:p w14:paraId="6E337716" w14:textId="77777777" w:rsidR="008B6E01" w:rsidRDefault="00A93D53">
      <w:r>
        <w:rPr>
          <w:rFonts w:ascii="Calibri" w:eastAsia="Calibri" w:hAnsi="Calibri" w:cs="Calibri"/>
          <w:sz w:val="22"/>
        </w:rPr>
        <w:t xml:space="preserve">The Australian Digital Alliance (ADA) and the Australian Libraries Copyright Committee (ALCC) thank the Australian Law Reform Commission (ALRC) for the opportunity to make this short submission in response to Issues Paper 46 </w:t>
      </w:r>
      <w:r>
        <w:rPr>
          <w:rFonts w:ascii="Calibri" w:eastAsia="Calibri" w:hAnsi="Calibri" w:cs="Calibri"/>
          <w:i/>
          <w:sz w:val="22"/>
        </w:rPr>
        <w:t>Traditional Rights and Freedoms- Encroachments by Commonwealth Laws</w:t>
      </w:r>
      <w:r>
        <w:rPr>
          <w:rFonts w:ascii="Calibri" w:eastAsia="Calibri" w:hAnsi="Calibri" w:cs="Calibri"/>
          <w:sz w:val="22"/>
        </w:rPr>
        <w:t xml:space="preserve">.  This submission is solely concerned with the interaction of the </w:t>
      </w:r>
      <w:r>
        <w:rPr>
          <w:rFonts w:ascii="Calibri" w:eastAsia="Calibri" w:hAnsi="Calibri" w:cs="Calibri"/>
          <w:i/>
          <w:sz w:val="22"/>
        </w:rPr>
        <w:t>Copyright Act 1968</w:t>
      </w:r>
      <w:r>
        <w:rPr>
          <w:rFonts w:ascii="Calibri" w:eastAsia="Calibri" w:hAnsi="Calibri" w:cs="Calibri"/>
          <w:sz w:val="22"/>
        </w:rPr>
        <w:t xml:space="preserve"> (the Act) and the </w:t>
      </w:r>
      <w:r>
        <w:rPr>
          <w:rFonts w:ascii="Calibri" w:eastAsia="Calibri" w:hAnsi="Calibri" w:cs="Calibri"/>
          <w:i/>
          <w:sz w:val="22"/>
        </w:rPr>
        <w:t xml:space="preserve">Copyright Regulations 1969 </w:t>
      </w:r>
      <w:r>
        <w:rPr>
          <w:rFonts w:ascii="Calibri" w:eastAsia="Calibri" w:hAnsi="Calibri" w:cs="Calibri"/>
          <w:sz w:val="22"/>
        </w:rPr>
        <w:t xml:space="preserve">(the Regulations) with traditional rights and freedoms. </w:t>
      </w:r>
    </w:p>
    <w:p w14:paraId="476C7895" w14:textId="2D09C3AD" w:rsidR="008B6E01" w:rsidRDefault="00A93D53">
      <w:r>
        <w:rPr>
          <w:rFonts w:ascii="Calibri" w:eastAsia="Calibri" w:hAnsi="Calibri" w:cs="Calibri"/>
          <w:sz w:val="22"/>
        </w:rPr>
        <w:t>Copyright is traditionally a civil matter. However, the scope of the property rights, protections and limitations are creatures of statute. The ADA and ALCC submit that the Act currently inappropriately inhibits free speech, shifts the burden of proof in one criminal (and a number of civil) offence</w:t>
      </w:r>
      <w:r w:rsidR="0051286B">
        <w:rPr>
          <w:rFonts w:ascii="Calibri" w:eastAsia="Calibri" w:hAnsi="Calibri" w:cs="Calibri"/>
          <w:sz w:val="22"/>
        </w:rPr>
        <w:t>(s) an</w:t>
      </w:r>
      <w:r>
        <w:rPr>
          <w:rFonts w:ascii="Calibri" w:eastAsia="Calibri" w:hAnsi="Calibri" w:cs="Calibri"/>
          <w:sz w:val="22"/>
        </w:rPr>
        <w:t xml:space="preserve">d contains unjustified offences of strict liability. We propose: </w:t>
      </w:r>
    </w:p>
    <w:p w14:paraId="275AD40E" w14:textId="47308358" w:rsidR="008B6E01" w:rsidRDefault="00A93D53">
      <w:pPr>
        <w:numPr>
          <w:ilvl w:val="0"/>
          <w:numId w:val="1"/>
        </w:numPr>
        <w:spacing w:after="0"/>
        <w:ind w:hanging="359"/>
        <w:contextualSpacing/>
        <w:rPr>
          <w:b/>
          <w:sz w:val="22"/>
        </w:rPr>
      </w:pPr>
      <w:r>
        <w:rPr>
          <w:rFonts w:ascii="Calibri" w:eastAsia="Calibri" w:hAnsi="Calibri" w:cs="Calibri"/>
          <w:b/>
          <w:sz w:val="22"/>
        </w:rPr>
        <w:t xml:space="preserve">Removal of </w:t>
      </w:r>
      <w:r w:rsidR="00364B2B">
        <w:rPr>
          <w:rFonts w:ascii="Calibri" w:eastAsia="Calibri" w:hAnsi="Calibri" w:cs="Calibri"/>
          <w:b/>
          <w:sz w:val="22"/>
        </w:rPr>
        <w:t>some of the</w:t>
      </w:r>
      <w:r>
        <w:rPr>
          <w:rFonts w:ascii="Calibri" w:eastAsia="Calibri" w:hAnsi="Calibri" w:cs="Calibri"/>
          <w:b/>
          <w:sz w:val="22"/>
        </w:rPr>
        <w:t xml:space="preserve"> existing copyright exceptions</w:t>
      </w:r>
      <w:r w:rsidR="00364B2B">
        <w:rPr>
          <w:rFonts w:ascii="Calibri" w:eastAsia="Calibri" w:hAnsi="Calibri" w:cs="Calibri"/>
          <w:b/>
          <w:sz w:val="22"/>
        </w:rPr>
        <w:t xml:space="preserve"> (as previously identified by the ALRC),</w:t>
      </w:r>
      <w:r>
        <w:rPr>
          <w:rFonts w:ascii="Calibri" w:eastAsia="Calibri" w:hAnsi="Calibri" w:cs="Calibri"/>
          <w:b/>
          <w:sz w:val="22"/>
        </w:rPr>
        <w:t xml:space="preserve"> to be replaced with a fair use exception to copyright infringement</w:t>
      </w:r>
    </w:p>
    <w:p w14:paraId="6285F473" w14:textId="3A87D764" w:rsidR="008B6E01" w:rsidRDefault="00A93D53">
      <w:pPr>
        <w:numPr>
          <w:ilvl w:val="0"/>
          <w:numId w:val="1"/>
        </w:numPr>
        <w:spacing w:before="0" w:after="0"/>
        <w:ind w:hanging="359"/>
        <w:contextualSpacing/>
        <w:rPr>
          <w:b/>
          <w:sz w:val="22"/>
        </w:rPr>
      </w:pPr>
      <w:r>
        <w:rPr>
          <w:rFonts w:ascii="Calibri" w:eastAsia="Calibri" w:hAnsi="Calibri" w:cs="Calibri"/>
          <w:b/>
          <w:sz w:val="22"/>
        </w:rPr>
        <w:t>Addition of exceptions to the technological protection measures (TPM) provisions to enhance free speech</w:t>
      </w:r>
      <w:r w:rsidR="00364B2B">
        <w:rPr>
          <w:rFonts w:ascii="Calibri" w:eastAsia="Calibri" w:hAnsi="Calibri" w:cs="Calibri"/>
          <w:b/>
          <w:sz w:val="22"/>
        </w:rPr>
        <w:t xml:space="preserve">, including, in particular, the inclusion of a mechanism to ensure that people with a legitimate claim to fair use of material do not risk civil, and in particular, </w:t>
      </w:r>
      <w:r w:rsidR="00364B2B">
        <w:rPr>
          <w:rFonts w:ascii="Calibri" w:eastAsia="Calibri" w:hAnsi="Calibri" w:cs="Calibri"/>
          <w:b/>
          <w:i/>
          <w:sz w:val="22"/>
        </w:rPr>
        <w:t xml:space="preserve">criminal </w:t>
      </w:r>
      <w:r w:rsidR="00364B2B">
        <w:rPr>
          <w:rFonts w:ascii="Calibri" w:eastAsia="Calibri" w:hAnsi="Calibri" w:cs="Calibri"/>
          <w:b/>
          <w:sz w:val="22"/>
        </w:rPr>
        <w:t>liability for circumvention;</w:t>
      </w:r>
    </w:p>
    <w:p w14:paraId="47FFD809" w14:textId="085EEE06" w:rsidR="008B6E01" w:rsidRDefault="00A93D53">
      <w:pPr>
        <w:numPr>
          <w:ilvl w:val="0"/>
          <w:numId w:val="1"/>
        </w:numPr>
        <w:spacing w:before="0" w:after="0"/>
        <w:ind w:hanging="359"/>
        <w:contextualSpacing/>
        <w:rPr>
          <w:b/>
          <w:sz w:val="22"/>
        </w:rPr>
      </w:pPr>
      <w:r>
        <w:rPr>
          <w:rFonts w:ascii="Calibri" w:eastAsia="Calibri" w:hAnsi="Calibri" w:cs="Calibri"/>
          <w:b/>
          <w:sz w:val="22"/>
        </w:rPr>
        <w:t>Prot</w:t>
      </w:r>
      <w:r w:rsidR="003732C1">
        <w:rPr>
          <w:rFonts w:ascii="Calibri" w:eastAsia="Calibri" w:hAnsi="Calibri" w:cs="Calibri"/>
          <w:b/>
          <w:sz w:val="22"/>
        </w:rPr>
        <w:t xml:space="preserve">ection of copyright exceptions </w:t>
      </w:r>
      <w:r>
        <w:rPr>
          <w:rFonts w:ascii="Calibri" w:eastAsia="Calibri" w:hAnsi="Calibri" w:cs="Calibri"/>
          <w:b/>
          <w:sz w:val="22"/>
        </w:rPr>
        <w:t>from contractual override</w:t>
      </w:r>
      <w:r w:rsidR="00364B2B">
        <w:rPr>
          <w:rFonts w:ascii="Calibri" w:eastAsia="Calibri" w:hAnsi="Calibri" w:cs="Calibri"/>
          <w:b/>
          <w:sz w:val="22"/>
        </w:rPr>
        <w:t>;</w:t>
      </w:r>
    </w:p>
    <w:p w14:paraId="3D0FBF91" w14:textId="3CDE15BA" w:rsidR="008B6E01" w:rsidRDefault="00A93D53">
      <w:pPr>
        <w:numPr>
          <w:ilvl w:val="0"/>
          <w:numId w:val="1"/>
        </w:numPr>
        <w:spacing w:before="0" w:after="0"/>
        <w:ind w:hanging="359"/>
        <w:contextualSpacing/>
        <w:rPr>
          <w:b/>
          <w:sz w:val="22"/>
        </w:rPr>
      </w:pPr>
      <w:r>
        <w:rPr>
          <w:rFonts w:ascii="Calibri" w:eastAsia="Calibri" w:hAnsi="Calibri" w:cs="Calibri"/>
          <w:b/>
          <w:sz w:val="22"/>
        </w:rPr>
        <w:t>Reconsideration of the shift of burden of proof in offences</w:t>
      </w:r>
      <w:r w:rsidR="00364B2B">
        <w:rPr>
          <w:rFonts w:ascii="Calibri" w:eastAsia="Calibri" w:hAnsi="Calibri" w:cs="Calibri"/>
          <w:b/>
          <w:sz w:val="22"/>
        </w:rPr>
        <w:t>; and</w:t>
      </w:r>
    </w:p>
    <w:p w14:paraId="2034DF8A" w14:textId="77777777" w:rsidR="008B6E01" w:rsidRPr="00A8643E" w:rsidRDefault="00A93D53">
      <w:pPr>
        <w:numPr>
          <w:ilvl w:val="0"/>
          <w:numId w:val="1"/>
        </w:numPr>
        <w:spacing w:before="0"/>
        <w:ind w:hanging="359"/>
        <w:contextualSpacing/>
        <w:rPr>
          <w:b/>
          <w:sz w:val="22"/>
        </w:rPr>
      </w:pPr>
      <w:r>
        <w:rPr>
          <w:rFonts w:ascii="Calibri" w:eastAsia="Calibri" w:hAnsi="Calibri" w:cs="Calibri"/>
          <w:b/>
          <w:sz w:val="22"/>
        </w:rPr>
        <w:t>Removal of the strict liability offences</w:t>
      </w:r>
    </w:p>
    <w:p w14:paraId="79B12491" w14:textId="77777777" w:rsidR="00A8643E" w:rsidRDefault="00A8643E" w:rsidP="00A8643E">
      <w:pPr>
        <w:spacing w:before="0"/>
        <w:ind w:left="720"/>
        <w:contextualSpacing/>
        <w:rPr>
          <w:b/>
          <w:sz w:val="22"/>
        </w:rPr>
      </w:pPr>
    </w:p>
    <w:p w14:paraId="27707E03" w14:textId="77777777" w:rsidR="008B6E01" w:rsidRDefault="00A93D53">
      <w:r>
        <w:rPr>
          <w:rFonts w:ascii="Calibri" w:eastAsia="Calibri" w:hAnsi="Calibri" w:cs="Calibri"/>
          <w:b/>
          <w:sz w:val="28"/>
        </w:rPr>
        <w:t>Freedom of Speech</w:t>
      </w:r>
    </w:p>
    <w:p w14:paraId="219EFA81" w14:textId="77777777" w:rsidR="008B6E01" w:rsidRDefault="00A93D53">
      <w:r>
        <w:rPr>
          <w:rFonts w:ascii="Calibri" w:eastAsia="Calibri" w:hAnsi="Calibri" w:cs="Calibri"/>
          <w:sz w:val="22"/>
        </w:rPr>
        <w:tab/>
        <w:t>“</w:t>
      </w:r>
      <w:r>
        <w:rPr>
          <w:rFonts w:ascii="Calibri" w:eastAsia="Calibri" w:hAnsi="Calibri" w:cs="Calibri"/>
          <w:sz w:val="22"/>
          <w:highlight w:val="white"/>
        </w:rPr>
        <w:t xml:space="preserve">Freedom of speech is a fundamental common law right. It has been described as ‘the </w:t>
      </w:r>
      <w:r>
        <w:rPr>
          <w:rFonts w:ascii="Calibri" w:eastAsia="Calibri" w:hAnsi="Calibri" w:cs="Calibri"/>
          <w:sz w:val="22"/>
          <w:highlight w:val="white"/>
        </w:rPr>
        <w:tab/>
        <w:t>freedom </w:t>
      </w:r>
      <w:r>
        <w:rPr>
          <w:rFonts w:ascii="Calibri" w:eastAsia="Calibri" w:hAnsi="Calibri" w:cs="Calibri"/>
          <w:i/>
          <w:sz w:val="22"/>
          <w:highlight w:val="white"/>
        </w:rPr>
        <w:t>par excellence</w:t>
      </w:r>
      <w:r>
        <w:rPr>
          <w:rFonts w:ascii="Calibri" w:eastAsia="Calibri" w:hAnsi="Calibri" w:cs="Calibri"/>
          <w:sz w:val="22"/>
          <w:highlight w:val="white"/>
        </w:rPr>
        <w:t>; for without it, no other freedom could survive’.”</w:t>
      </w:r>
      <w:r>
        <w:rPr>
          <w:rFonts w:ascii="Calibri" w:eastAsia="Calibri" w:hAnsi="Calibri" w:cs="Calibri"/>
          <w:sz w:val="22"/>
          <w:highlight w:val="white"/>
          <w:vertAlign w:val="superscript"/>
        </w:rPr>
        <w:footnoteReference w:id="1"/>
      </w:r>
    </w:p>
    <w:p w14:paraId="049B4764" w14:textId="50937683" w:rsidR="008B6E01" w:rsidRDefault="00A93D53">
      <w:r>
        <w:rPr>
          <w:rFonts w:ascii="Calibri" w:eastAsia="Calibri" w:hAnsi="Calibri" w:cs="Calibri"/>
          <w:sz w:val="22"/>
        </w:rPr>
        <w:t xml:space="preserve">Copyright law </w:t>
      </w:r>
      <w:r w:rsidR="00364B2B">
        <w:rPr>
          <w:rFonts w:ascii="Calibri" w:eastAsia="Calibri" w:hAnsi="Calibri" w:cs="Calibri"/>
          <w:sz w:val="22"/>
        </w:rPr>
        <w:t>seeks</w:t>
      </w:r>
      <w:r>
        <w:rPr>
          <w:rFonts w:ascii="Calibri" w:eastAsia="Calibri" w:hAnsi="Calibri" w:cs="Calibri"/>
          <w:sz w:val="22"/>
        </w:rPr>
        <w:t xml:space="preserve"> to achieve a balance between the protection of creators and the ability of citizens to use and engage with material. Speech is not created in a vacuum: it exists as part of a culture. All speech</w:t>
      </w:r>
      <w:r w:rsidR="00364B2B">
        <w:rPr>
          <w:rFonts w:ascii="Calibri" w:eastAsia="Calibri" w:hAnsi="Calibri" w:cs="Calibri"/>
          <w:sz w:val="22"/>
        </w:rPr>
        <w:t>, and all speakers,</w:t>
      </w:r>
      <w:r>
        <w:rPr>
          <w:rFonts w:ascii="Calibri" w:eastAsia="Calibri" w:hAnsi="Calibri" w:cs="Calibri"/>
          <w:sz w:val="22"/>
        </w:rPr>
        <w:t xml:space="preserve"> draw from previous works, from poems to reports, philosophies to memes, art to analyses.</w:t>
      </w:r>
      <w:r>
        <w:rPr>
          <w:rFonts w:ascii="Calibri" w:eastAsia="Calibri" w:hAnsi="Calibri" w:cs="Calibri"/>
          <w:sz w:val="22"/>
          <w:vertAlign w:val="superscript"/>
        </w:rPr>
        <w:footnoteReference w:id="2"/>
      </w:r>
      <w:r>
        <w:rPr>
          <w:rFonts w:ascii="Calibri" w:eastAsia="Calibri" w:hAnsi="Calibri" w:cs="Calibri"/>
          <w:sz w:val="22"/>
        </w:rPr>
        <w:t xml:space="preserve"> Without the ability to engage with, reuse and incorporate </w:t>
      </w:r>
      <w:r w:rsidR="00364B2B">
        <w:rPr>
          <w:rFonts w:ascii="Calibri" w:eastAsia="Calibri" w:hAnsi="Calibri" w:cs="Calibri"/>
          <w:sz w:val="22"/>
        </w:rPr>
        <w:t>existing copyright-protected material</w:t>
      </w:r>
      <w:r>
        <w:rPr>
          <w:rFonts w:ascii="Calibri" w:eastAsia="Calibri" w:hAnsi="Calibri" w:cs="Calibri"/>
          <w:sz w:val="22"/>
        </w:rPr>
        <w:t xml:space="preserve"> there is no real freedom of speech. Copyright, meanwhile, gives exclusive control of the use of copyright material to the rights holder, and the Act provides that they can enforce that right against any person who infringes. </w:t>
      </w:r>
      <w:r w:rsidR="00364B2B">
        <w:rPr>
          <w:rFonts w:ascii="Calibri" w:eastAsia="Calibri" w:hAnsi="Calibri" w:cs="Calibri"/>
          <w:sz w:val="22"/>
        </w:rPr>
        <w:t xml:space="preserve">This creates a </w:t>
      </w:r>
      <w:r>
        <w:rPr>
          <w:rFonts w:ascii="Calibri" w:eastAsia="Calibri" w:hAnsi="Calibri" w:cs="Calibri"/>
          <w:sz w:val="22"/>
        </w:rPr>
        <w:t xml:space="preserve">fundamental tension between copyright and free speech.  Giving a copyright owner the right to control the use and reproduction of works necessarily constrains the speech of others.  </w:t>
      </w:r>
      <w:r w:rsidR="00364B2B">
        <w:rPr>
          <w:rFonts w:ascii="Calibri" w:eastAsia="Calibri" w:hAnsi="Calibri" w:cs="Calibri"/>
          <w:sz w:val="22"/>
        </w:rPr>
        <w:t>Although it has sometimes been argued that internal mechanisms within the copyright law sufficiently protect freedom of expression, there is a significant academic literature that points out the limitations in that argument.</w:t>
      </w:r>
      <w:r w:rsidR="00364B2B">
        <w:rPr>
          <w:rStyle w:val="FootnoteReference"/>
          <w:rFonts w:ascii="Calibri" w:eastAsia="Calibri" w:hAnsi="Calibri" w:cs="Calibri"/>
          <w:sz w:val="22"/>
        </w:rPr>
        <w:footnoteReference w:id="3"/>
      </w:r>
      <w:r w:rsidR="00364B2B">
        <w:rPr>
          <w:rFonts w:ascii="Calibri" w:eastAsia="Calibri" w:hAnsi="Calibri" w:cs="Calibri"/>
          <w:sz w:val="22"/>
        </w:rPr>
        <w:t xml:space="preserve">  </w:t>
      </w:r>
    </w:p>
    <w:p w14:paraId="540E6839" w14:textId="1C495A39" w:rsidR="008B6E01" w:rsidRDefault="00A93D53">
      <w:r>
        <w:rPr>
          <w:rFonts w:ascii="Calibri" w:eastAsia="Calibri" w:hAnsi="Calibri" w:cs="Calibri"/>
          <w:sz w:val="22"/>
        </w:rPr>
        <w:lastRenderedPageBreak/>
        <w:t xml:space="preserve">Australia’s copyright law contains some safeguards to protect speech. One </w:t>
      </w:r>
      <w:r w:rsidR="00A8643E">
        <w:rPr>
          <w:rFonts w:ascii="Calibri" w:eastAsia="Calibri" w:hAnsi="Calibri" w:cs="Calibri"/>
          <w:sz w:val="22"/>
        </w:rPr>
        <w:t>protection is</w:t>
      </w:r>
      <w:r>
        <w:rPr>
          <w:rFonts w:ascii="Calibri" w:eastAsia="Calibri" w:hAnsi="Calibri" w:cs="Calibri"/>
          <w:sz w:val="22"/>
        </w:rPr>
        <w:t xml:space="preserve"> that copyright covers only the expression of ideas, not ideas themselves. However</w:t>
      </w:r>
      <w:r w:rsidR="00364B2B">
        <w:rPr>
          <w:rFonts w:ascii="Calibri" w:eastAsia="Calibri" w:hAnsi="Calibri" w:cs="Calibri"/>
          <w:sz w:val="22"/>
        </w:rPr>
        <w:t>, as the academic literature points out,</w:t>
      </w:r>
      <w:r>
        <w:rPr>
          <w:rFonts w:ascii="Calibri" w:eastAsia="Calibri" w:hAnsi="Calibri" w:cs="Calibri"/>
          <w:sz w:val="22"/>
        </w:rPr>
        <w:t xml:space="preserve"> there are times when the two are to all intents and purposes inseparable, or when it is the expression that requires comment. </w:t>
      </w:r>
    </w:p>
    <w:p w14:paraId="47C12295" w14:textId="4516FE0B" w:rsidR="008B6E01" w:rsidRDefault="00A93D53">
      <w:r>
        <w:rPr>
          <w:rFonts w:ascii="Calibri" w:eastAsia="Calibri" w:hAnsi="Calibri" w:cs="Calibri"/>
          <w:sz w:val="22"/>
        </w:rPr>
        <w:t>The other major protections are the fair dealing exceptions, especially those for reporting news and engaging</w:t>
      </w:r>
      <w:r w:rsidR="00A8643E">
        <w:rPr>
          <w:rFonts w:ascii="Calibri" w:eastAsia="Calibri" w:hAnsi="Calibri" w:cs="Calibri"/>
          <w:sz w:val="22"/>
        </w:rPr>
        <w:t xml:space="preserve"> in criticism or review. Yet</w:t>
      </w:r>
      <w:r>
        <w:rPr>
          <w:rFonts w:ascii="Calibri" w:eastAsia="Calibri" w:hAnsi="Calibri" w:cs="Calibri"/>
          <w:sz w:val="22"/>
        </w:rPr>
        <w:t xml:space="preserve"> there are many instances of speech that fall outside Australia’s existing narrow, purpose-based exceptions. As Professor </w:t>
      </w:r>
      <w:proofErr w:type="spellStart"/>
      <w:r>
        <w:rPr>
          <w:rFonts w:ascii="Calibri" w:eastAsia="Calibri" w:hAnsi="Calibri" w:cs="Calibri"/>
          <w:sz w:val="22"/>
        </w:rPr>
        <w:t>Croucher</w:t>
      </w:r>
      <w:proofErr w:type="spellEnd"/>
      <w:r>
        <w:rPr>
          <w:rFonts w:ascii="Calibri" w:eastAsia="Calibri" w:hAnsi="Calibri" w:cs="Calibri"/>
          <w:sz w:val="22"/>
        </w:rPr>
        <w:t xml:space="preserve"> noted at the recent Free Speech Symposium: </w:t>
      </w:r>
    </w:p>
    <w:p w14:paraId="575879BB" w14:textId="77777777" w:rsidR="008B6E01" w:rsidRDefault="00A93D53">
      <w:r>
        <w:rPr>
          <w:rFonts w:ascii="Calibri" w:eastAsia="Calibri" w:hAnsi="Calibri" w:cs="Calibri"/>
          <w:sz w:val="22"/>
        </w:rPr>
        <w:tab/>
        <w:t xml:space="preserve">“Freedom of speech also arose in the ALRC’s recent copyright inquiry. In the final report, we </w:t>
      </w:r>
      <w:r>
        <w:rPr>
          <w:rFonts w:ascii="Calibri" w:eastAsia="Calibri" w:hAnsi="Calibri" w:cs="Calibri"/>
          <w:sz w:val="22"/>
        </w:rPr>
        <w:tab/>
        <w:t xml:space="preserve">recommended the enactment of a fair use exception to copyright laws. By allowing the use of </w:t>
      </w:r>
      <w:r>
        <w:rPr>
          <w:rFonts w:ascii="Calibri" w:eastAsia="Calibri" w:hAnsi="Calibri" w:cs="Calibri"/>
          <w:sz w:val="22"/>
        </w:rPr>
        <w:tab/>
        <w:t xml:space="preserve">other people’s copyright material without permission or payment in some limited circumstances </w:t>
      </w:r>
      <w:r>
        <w:rPr>
          <w:rFonts w:ascii="Calibri" w:eastAsia="Calibri" w:hAnsi="Calibri" w:cs="Calibri"/>
          <w:sz w:val="22"/>
        </w:rPr>
        <w:tab/>
        <w:t xml:space="preserve">– when fair – this U.S. style exception to copyright infringement can allow people to use books, </w:t>
      </w:r>
      <w:r>
        <w:rPr>
          <w:rFonts w:ascii="Calibri" w:eastAsia="Calibri" w:hAnsi="Calibri" w:cs="Calibri"/>
          <w:sz w:val="22"/>
        </w:rPr>
        <w:tab/>
        <w:t xml:space="preserve">films, music and other material in the creation of new books, films, music and other works. </w:t>
      </w:r>
      <w:r>
        <w:rPr>
          <w:rFonts w:ascii="Calibri" w:eastAsia="Calibri" w:hAnsi="Calibri" w:cs="Calibri"/>
          <w:sz w:val="22"/>
        </w:rPr>
        <w:tab/>
        <w:t xml:space="preserve">Whether one supports the introduction of this contentious exception or not, it seems clear that </w:t>
      </w:r>
      <w:r>
        <w:rPr>
          <w:rFonts w:ascii="Calibri" w:eastAsia="Calibri" w:hAnsi="Calibri" w:cs="Calibri"/>
          <w:sz w:val="22"/>
        </w:rPr>
        <w:tab/>
        <w:t>overly confined or restrictive copyright laws can risk stifling free expression.”</w:t>
      </w:r>
      <w:r>
        <w:rPr>
          <w:rFonts w:ascii="Calibri" w:eastAsia="Calibri" w:hAnsi="Calibri" w:cs="Calibri"/>
          <w:sz w:val="22"/>
          <w:vertAlign w:val="superscript"/>
        </w:rPr>
        <w:footnoteReference w:id="4"/>
      </w:r>
    </w:p>
    <w:p w14:paraId="7842DF56" w14:textId="1351E930" w:rsidR="008B6E01" w:rsidRPr="00364B2B" w:rsidRDefault="00A93D53">
      <w:r>
        <w:rPr>
          <w:rFonts w:ascii="Calibri" w:eastAsia="Calibri" w:hAnsi="Calibri" w:cs="Calibri"/>
          <w:sz w:val="22"/>
        </w:rPr>
        <w:t>A number of recent cases demonstrate how current copyright law restricts freedom of speech, including the constitutionally-protected right of political speech.</w:t>
      </w:r>
      <w:r>
        <w:rPr>
          <w:rFonts w:ascii="Calibri" w:eastAsia="Calibri" w:hAnsi="Calibri" w:cs="Calibri"/>
          <w:sz w:val="22"/>
          <w:vertAlign w:val="superscript"/>
        </w:rPr>
        <w:footnoteReference w:id="5"/>
      </w:r>
      <w:r>
        <w:rPr>
          <w:rFonts w:ascii="Calibri" w:eastAsia="Calibri" w:hAnsi="Calibri" w:cs="Calibri"/>
          <w:sz w:val="22"/>
        </w:rPr>
        <w:t xml:space="preserve"> Copyright considerations resulted in takedowns of a </w:t>
      </w:r>
      <w:proofErr w:type="spellStart"/>
      <w:r>
        <w:rPr>
          <w:rFonts w:ascii="Calibri" w:eastAsia="Calibri" w:hAnsi="Calibri" w:cs="Calibri"/>
          <w:sz w:val="22"/>
        </w:rPr>
        <w:t>Labor</w:t>
      </w:r>
      <w:proofErr w:type="spellEnd"/>
      <w:r>
        <w:rPr>
          <w:rFonts w:ascii="Calibri" w:eastAsia="Calibri" w:hAnsi="Calibri" w:cs="Calibri"/>
          <w:sz w:val="22"/>
        </w:rPr>
        <w:t xml:space="preserve"> party advertisement that used, and commented upon, a previ</w:t>
      </w:r>
      <w:r w:rsidR="00287A09">
        <w:rPr>
          <w:rFonts w:ascii="Calibri" w:eastAsia="Calibri" w:hAnsi="Calibri" w:cs="Calibri"/>
          <w:sz w:val="22"/>
        </w:rPr>
        <w:t>ous Liberal Party advertisement</w:t>
      </w:r>
      <w:r>
        <w:rPr>
          <w:rFonts w:ascii="Calibri" w:eastAsia="Calibri" w:hAnsi="Calibri" w:cs="Calibri"/>
          <w:sz w:val="22"/>
          <w:vertAlign w:val="superscript"/>
        </w:rPr>
        <w:footnoteReference w:id="6"/>
      </w:r>
      <w:r>
        <w:rPr>
          <w:rFonts w:ascii="Calibri" w:eastAsia="Calibri" w:hAnsi="Calibri" w:cs="Calibri"/>
          <w:sz w:val="22"/>
        </w:rPr>
        <w:t xml:space="preserve"> and a Li</w:t>
      </w:r>
      <w:r w:rsidR="0051286B">
        <w:rPr>
          <w:rFonts w:ascii="Calibri" w:eastAsia="Calibri" w:hAnsi="Calibri" w:cs="Calibri"/>
          <w:sz w:val="22"/>
        </w:rPr>
        <w:t xml:space="preserve">beral Party advertisement that </w:t>
      </w:r>
      <w:r>
        <w:rPr>
          <w:rFonts w:ascii="Calibri" w:eastAsia="Calibri" w:hAnsi="Calibri" w:cs="Calibri"/>
          <w:sz w:val="22"/>
        </w:rPr>
        <w:t>used broadcast footage from ABC news reports.</w:t>
      </w:r>
      <w:r>
        <w:rPr>
          <w:rFonts w:ascii="Calibri" w:eastAsia="Calibri" w:hAnsi="Calibri" w:cs="Calibri"/>
          <w:sz w:val="22"/>
          <w:vertAlign w:val="superscript"/>
        </w:rPr>
        <w:footnoteReference w:id="7"/>
      </w:r>
      <w:r>
        <w:rPr>
          <w:rFonts w:ascii="Calibri" w:eastAsia="Calibri" w:hAnsi="Calibri" w:cs="Calibri"/>
          <w:sz w:val="22"/>
        </w:rPr>
        <w:t xml:space="preserve"> </w:t>
      </w:r>
      <w:r w:rsidR="00364B2B">
        <w:rPr>
          <w:rFonts w:ascii="Calibri" w:eastAsia="Calibri" w:hAnsi="Calibri" w:cs="Calibri"/>
          <w:sz w:val="22"/>
        </w:rPr>
        <w:t xml:space="preserve">Although political speech </w:t>
      </w:r>
      <w:r w:rsidR="00364B2B">
        <w:rPr>
          <w:rFonts w:ascii="Calibri" w:eastAsia="Calibri" w:hAnsi="Calibri" w:cs="Calibri"/>
          <w:i/>
          <w:sz w:val="22"/>
        </w:rPr>
        <w:t xml:space="preserve">ought </w:t>
      </w:r>
      <w:r w:rsidR="00364B2B">
        <w:rPr>
          <w:rFonts w:ascii="Calibri" w:eastAsia="Calibri" w:hAnsi="Calibri" w:cs="Calibri"/>
          <w:sz w:val="22"/>
        </w:rPr>
        <w:t xml:space="preserve">to be a fairly obvious form of fair dealing and mechanisms </w:t>
      </w:r>
      <w:r w:rsidR="00364B2B">
        <w:rPr>
          <w:rFonts w:ascii="Calibri" w:eastAsia="Calibri" w:hAnsi="Calibri" w:cs="Calibri"/>
          <w:i/>
          <w:sz w:val="22"/>
        </w:rPr>
        <w:t xml:space="preserve">ought </w:t>
      </w:r>
      <w:r w:rsidR="00364B2B">
        <w:rPr>
          <w:rFonts w:ascii="Calibri" w:eastAsia="Calibri" w:hAnsi="Calibri" w:cs="Calibri"/>
          <w:sz w:val="22"/>
        </w:rPr>
        <w:t>to exist in the copyright law to allow such speech (subject always to a fairness analysis), it is difficult to fit such speech within Australia’s narrow, purpose-specific fair dealing exceptions. Australian courts have denied the existence of any general public interest exception to copyright law.</w:t>
      </w:r>
    </w:p>
    <w:p w14:paraId="387ECF5E" w14:textId="28279A08" w:rsidR="008B6E01" w:rsidRDefault="00A93D53">
      <w:r>
        <w:rPr>
          <w:rFonts w:ascii="Calibri" w:eastAsia="Calibri" w:hAnsi="Calibri" w:cs="Calibri"/>
          <w:sz w:val="22"/>
        </w:rPr>
        <w:t>Furthermore, without the protection of a flexible exception such as fair use, many uses of copyright material which add cultural and entertainment value to society remain on an uncertain legal footing. In a society where copyright consumers are increasingly moving away from mere passive consumption and towards ‘</w:t>
      </w:r>
      <w:proofErr w:type="spellStart"/>
      <w:r>
        <w:rPr>
          <w:rFonts w:ascii="Calibri" w:eastAsia="Calibri" w:hAnsi="Calibri" w:cs="Calibri"/>
          <w:sz w:val="22"/>
        </w:rPr>
        <w:t>produsage</w:t>
      </w:r>
      <w:proofErr w:type="spellEnd"/>
      <w:r>
        <w:rPr>
          <w:rFonts w:ascii="Calibri" w:eastAsia="Calibri" w:hAnsi="Calibri" w:cs="Calibri"/>
          <w:sz w:val="22"/>
        </w:rPr>
        <w:t>’,</w:t>
      </w:r>
      <w:r>
        <w:rPr>
          <w:rFonts w:ascii="Calibri" w:eastAsia="Calibri" w:hAnsi="Calibri" w:cs="Calibri"/>
          <w:sz w:val="22"/>
          <w:vertAlign w:val="superscript"/>
        </w:rPr>
        <w:footnoteReference w:id="8"/>
      </w:r>
      <w:r>
        <w:rPr>
          <w:rFonts w:ascii="Calibri" w:eastAsia="Calibri" w:hAnsi="Calibri" w:cs="Calibri"/>
          <w:sz w:val="22"/>
        </w:rPr>
        <w:t xml:space="preserve"> memes, mashups and other playful uses of copyright material are an ever-present and important part of our cultural identity. </w:t>
      </w:r>
      <w:r w:rsidR="00364B2B">
        <w:rPr>
          <w:rFonts w:ascii="Calibri" w:eastAsia="Calibri" w:hAnsi="Calibri" w:cs="Calibri"/>
          <w:sz w:val="22"/>
        </w:rPr>
        <w:t xml:space="preserve">Many such </w:t>
      </w:r>
      <w:r>
        <w:rPr>
          <w:rFonts w:ascii="Calibri" w:eastAsia="Calibri" w:hAnsi="Calibri" w:cs="Calibri"/>
          <w:sz w:val="22"/>
        </w:rPr>
        <w:t>uses are essentially harmless: they do not compete with, and in fact may grow, the market for the original goods. But wh</w:t>
      </w:r>
      <w:r w:rsidR="00287A09">
        <w:rPr>
          <w:rFonts w:ascii="Calibri" w:eastAsia="Calibri" w:hAnsi="Calibri" w:cs="Calibri"/>
          <w:sz w:val="22"/>
        </w:rPr>
        <w:t>ile the</w:t>
      </w:r>
      <w:r w:rsidR="00364B2B">
        <w:rPr>
          <w:rFonts w:ascii="Calibri" w:eastAsia="Calibri" w:hAnsi="Calibri" w:cs="Calibri"/>
          <w:sz w:val="22"/>
        </w:rPr>
        <w:t xml:space="preserve"> scope of the</w:t>
      </w:r>
      <w:r w:rsidR="00287A09">
        <w:rPr>
          <w:rFonts w:ascii="Calibri" w:eastAsia="Calibri" w:hAnsi="Calibri" w:cs="Calibri"/>
          <w:sz w:val="22"/>
        </w:rPr>
        <w:t xml:space="preserve"> parody and </w:t>
      </w:r>
      <w:r>
        <w:rPr>
          <w:rFonts w:ascii="Calibri" w:eastAsia="Calibri" w:hAnsi="Calibri" w:cs="Calibri"/>
          <w:sz w:val="22"/>
        </w:rPr>
        <w:t xml:space="preserve">satire exception remains </w:t>
      </w:r>
      <w:r w:rsidR="00364B2B">
        <w:rPr>
          <w:rFonts w:ascii="Calibri" w:eastAsia="Calibri" w:hAnsi="Calibri" w:cs="Calibri"/>
          <w:sz w:val="22"/>
        </w:rPr>
        <w:t>unclear in the absence of case law on the point</w:t>
      </w:r>
      <w:r>
        <w:rPr>
          <w:rFonts w:ascii="Calibri" w:eastAsia="Calibri" w:hAnsi="Calibri" w:cs="Calibri"/>
          <w:sz w:val="22"/>
        </w:rPr>
        <w:t xml:space="preserve">, and without the protection of fair use, the artistic freedom of individuals to experiment with, poke fun at, and transform, copyright works is limited. </w:t>
      </w:r>
    </w:p>
    <w:p w14:paraId="73E61CFE" w14:textId="124CF156" w:rsidR="008B6E01" w:rsidRDefault="00A93D53">
      <w:r>
        <w:rPr>
          <w:rFonts w:ascii="Calibri" w:eastAsia="Calibri" w:hAnsi="Calibri" w:cs="Calibri"/>
          <w:sz w:val="22"/>
        </w:rPr>
        <w:t xml:space="preserve">Moving to a system of fair use </w:t>
      </w:r>
      <w:r w:rsidR="00364B2B">
        <w:rPr>
          <w:rFonts w:ascii="Calibri" w:eastAsia="Calibri" w:hAnsi="Calibri" w:cs="Calibri"/>
          <w:sz w:val="22"/>
        </w:rPr>
        <w:t xml:space="preserve">would </w:t>
      </w:r>
      <w:r>
        <w:rPr>
          <w:rFonts w:ascii="Calibri" w:eastAsia="Calibri" w:hAnsi="Calibri" w:cs="Calibri"/>
          <w:sz w:val="22"/>
        </w:rPr>
        <w:t xml:space="preserve">give </w:t>
      </w:r>
      <w:r w:rsidR="00364B2B">
        <w:rPr>
          <w:rFonts w:ascii="Calibri" w:eastAsia="Calibri" w:hAnsi="Calibri" w:cs="Calibri"/>
          <w:sz w:val="22"/>
        </w:rPr>
        <w:t xml:space="preserve">Australians </w:t>
      </w:r>
      <w:r>
        <w:rPr>
          <w:rFonts w:ascii="Calibri" w:eastAsia="Calibri" w:hAnsi="Calibri" w:cs="Calibri"/>
          <w:sz w:val="22"/>
        </w:rPr>
        <w:t xml:space="preserve">the flexibility to consider the purpose and importance of the use to freedom of speech. The balancing framework, where the purpose of the use is </w:t>
      </w:r>
      <w:r>
        <w:rPr>
          <w:rFonts w:ascii="Calibri" w:eastAsia="Calibri" w:hAnsi="Calibri" w:cs="Calibri"/>
          <w:sz w:val="22"/>
        </w:rPr>
        <w:lastRenderedPageBreak/>
        <w:t xml:space="preserve">weighed in conjunction with the nature of the use and the interests of the copyright holder, also provides a system that can be protective of both speech and creator’s rights. What might be a fair use for the purposes of political speech might not be for artistic commentary. Similarly, it may not be a fair use if materials are used in a way that harms the rights holder when the speech could have been accomplished in a less harmful fashion. </w:t>
      </w:r>
    </w:p>
    <w:p w14:paraId="5DF31FED" w14:textId="2CD32E36" w:rsidR="008B6E01" w:rsidRDefault="00A93D53">
      <w:r>
        <w:rPr>
          <w:rFonts w:ascii="Calibri" w:eastAsia="Calibri" w:hAnsi="Calibri" w:cs="Calibri"/>
          <w:sz w:val="22"/>
        </w:rPr>
        <w:t xml:space="preserve">Another restriction on freedom of speech is the imposition of </w:t>
      </w:r>
      <w:r w:rsidR="00287A09">
        <w:rPr>
          <w:rFonts w:ascii="Calibri" w:eastAsia="Calibri" w:hAnsi="Calibri" w:cs="Calibri"/>
          <w:sz w:val="22"/>
        </w:rPr>
        <w:t xml:space="preserve">criminal </w:t>
      </w:r>
      <w:r>
        <w:rPr>
          <w:rFonts w:ascii="Calibri" w:eastAsia="Calibri" w:hAnsi="Calibri" w:cs="Calibri"/>
          <w:sz w:val="22"/>
        </w:rPr>
        <w:t>liability for removing TPMs. The relevant provisions</w:t>
      </w:r>
      <w:r>
        <w:rPr>
          <w:rFonts w:ascii="Calibri" w:eastAsia="Calibri" w:hAnsi="Calibri" w:cs="Calibri"/>
          <w:sz w:val="22"/>
          <w:vertAlign w:val="superscript"/>
        </w:rPr>
        <w:footnoteReference w:id="9"/>
      </w:r>
      <w:r>
        <w:rPr>
          <w:rFonts w:ascii="Calibri" w:eastAsia="Calibri" w:hAnsi="Calibri" w:cs="Calibri"/>
          <w:sz w:val="22"/>
        </w:rPr>
        <w:t xml:space="preserve"> make it an offence to break the digital locks on content, even if the person has a legitimate right to use the content. There are a limited number of exceptions to these provisions</w:t>
      </w:r>
      <w:r>
        <w:rPr>
          <w:rFonts w:ascii="Calibri" w:eastAsia="Calibri" w:hAnsi="Calibri" w:cs="Calibri"/>
          <w:sz w:val="22"/>
          <w:vertAlign w:val="superscript"/>
        </w:rPr>
        <w:footnoteReference w:id="10"/>
      </w:r>
      <w:r>
        <w:rPr>
          <w:rFonts w:ascii="Calibri" w:eastAsia="Calibri" w:hAnsi="Calibri" w:cs="Calibri"/>
          <w:sz w:val="22"/>
        </w:rPr>
        <w:t xml:space="preserve"> but these do not include the fair dealing provisions</w:t>
      </w:r>
      <w:r w:rsidR="00364B2B">
        <w:rPr>
          <w:rFonts w:ascii="Calibri" w:eastAsia="Calibri" w:hAnsi="Calibri" w:cs="Calibri"/>
          <w:sz w:val="22"/>
        </w:rPr>
        <w:t xml:space="preserve"> which are Australia’s key mechanism for protecting free speech in the context of copyright law</w:t>
      </w:r>
      <w:r>
        <w:rPr>
          <w:rFonts w:ascii="Calibri" w:eastAsia="Calibri" w:hAnsi="Calibri" w:cs="Calibri"/>
          <w:sz w:val="22"/>
        </w:rPr>
        <w:t>. In practice this means that if you, for example, wished to use footage of a political speech for the purposes of reporting the news, but that footage was protected by a TPM, you could not do so, even if the fair dealing exception would cover the actual use of the material.</w:t>
      </w:r>
    </w:p>
    <w:p w14:paraId="531CB76A" w14:textId="77777777" w:rsidR="008B6E01" w:rsidRDefault="00A93D53">
      <w:r>
        <w:rPr>
          <w:rFonts w:ascii="Calibri" w:eastAsia="Calibri" w:hAnsi="Calibri" w:cs="Calibri"/>
          <w:sz w:val="22"/>
        </w:rPr>
        <w:t xml:space="preserve">As companies and individuals increasingly use digital locks or contractual provisions to override copyright exceptions, we increasingly face situations where speech may be legal but impossible. </w:t>
      </w:r>
    </w:p>
    <w:tbl>
      <w:tblPr>
        <w:tblW w:w="96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287A09" w14:paraId="2121305D" w14:textId="77777777" w:rsidTr="00287A09">
        <w:trPr>
          <w:trHeight w:val="4110"/>
        </w:trPr>
        <w:tc>
          <w:tcPr>
            <w:tcW w:w="9620" w:type="dxa"/>
            <w:shd w:val="clear" w:color="auto" w:fill="BDD6EE" w:themeFill="accent1" w:themeFillTint="66"/>
          </w:tcPr>
          <w:p w14:paraId="267DA008" w14:textId="571E69CF" w:rsidR="00287A09" w:rsidRPr="00AD4AC2" w:rsidRDefault="00AD4AC2" w:rsidP="00287A09">
            <w:pPr>
              <w:rPr>
                <w:rFonts w:ascii="Calibri" w:eastAsia="Calibri" w:hAnsi="Calibri" w:cs="Calibri"/>
                <w:b/>
                <w:color w:val="3D3A37"/>
                <w:sz w:val="22"/>
                <w:shd w:val="clear" w:color="auto" w:fill="BDD6EE" w:themeFill="accent1" w:themeFillTint="66"/>
              </w:rPr>
            </w:pPr>
            <w:r>
              <w:rPr>
                <w:rFonts w:ascii="Calibri" w:eastAsia="Calibri" w:hAnsi="Calibri" w:cs="Calibri"/>
                <w:b/>
                <w:color w:val="3D3A37"/>
                <w:sz w:val="22"/>
                <w:shd w:val="clear" w:color="auto" w:fill="BDD6EE" w:themeFill="accent1" w:themeFillTint="66"/>
              </w:rPr>
              <w:t xml:space="preserve">Question 2–2 </w:t>
            </w:r>
            <w:r w:rsidR="00287A09" w:rsidRPr="00AD4AC2">
              <w:rPr>
                <w:rFonts w:ascii="Calibri" w:eastAsia="Calibri" w:hAnsi="Calibri" w:cs="Calibri"/>
                <w:b/>
                <w:color w:val="3D3A37"/>
                <w:sz w:val="22"/>
                <w:shd w:val="clear" w:color="auto" w:fill="BDD6EE" w:themeFill="accent1" w:themeFillTint="66"/>
              </w:rPr>
              <w:t>Which Commonwealth laws unjustifiably interfere with freedom of speech, and why are these laws unjustified?</w:t>
            </w:r>
          </w:p>
          <w:p w14:paraId="3C712A59" w14:textId="77777777" w:rsidR="00287A09" w:rsidRPr="00287A09" w:rsidRDefault="00287A09" w:rsidP="00287A09">
            <w:r w:rsidRPr="00AD4AC2">
              <w:rPr>
                <w:rFonts w:ascii="Calibri" w:eastAsia="Calibri" w:hAnsi="Calibri" w:cs="Calibri"/>
                <w:color w:val="3D3A37"/>
                <w:sz w:val="22"/>
              </w:rPr>
              <w:t xml:space="preserve">For the reasons outlined above the ADA and ALCC submit that the current copyright exceptions unjustifiably interfere with freedom of speech and should be repealed and replaced in the fashion recommended by the ALRC in the </w:t>
            </w:r>
            <w:r w:rsidRPr="00AD4AC2">
              <w:rPr>
                <w:rFonts w:ascii="Calibri" w:eastAsia="Calibri" w:hAnsi="Calibri" w:cs="Calibri"/>
                <w:i/>
                <w:color w:val="3D3A37"/>
                <w:sz w:val="22"/>
              </w:rPr>
              <w:t>Copyright and the Digital Economy</w:t>
            </w:r>
            <w:r w:rsidRPr="00AD4AC2">
              <w:rPr>
                <w:rFonts w:ascii="Calibri" w:eastAsia="Calibri" w:hAnsi="Calibri" w:cs="Calibri"/>
                <w:color w:val="3D3A37"/>
                <w:sz w:val="22"/>
              </w:rPr>
              <w:t xml:space="preserve"> report.</w:t>
            </w:r>
            <w:r w:rsidRPr="00AD4AC2">
              <w:rPr>
                <w:rFonts w:ascii="Calibri" w:eastAsia="Calibri" w:hAnsi="Calibri" w:cs="Calibri"/>
                <w:color w:val="3D3A37"/>
                <w:sz w:val="22"/>
                <w:vertAlign w:val="superscript"/>
              </w:rPr>
              <w:footnoteReference w:id="11"/>
            </w:r>
            <w:r w:rsidRPr="00AD4AC2">
              <w:rPr>
                <w:rFonts w:ascii="Calibri" w:eastAsia="Calibri" w:hAnsi="Calibri" w:cs="Calibri"/>
                <w:color w:val="3D3A37"/>
                <w:sz w:val="22"/>
              </w:rPr>
              <w:t xml:space="preserve"> </w:t>
            </w:r>
          </w:p>
          <w:p w14:paraId="5C727132" w14:textId="77777777" w:rsidR="00287A09" w:rsidRPr="00287A09" w:rsidRDefault="00287A09" w:rsidP="00287A09">
            <w:r w:rsidRPr="00AD4AC2">
              <w:rPr>
                <w:rFonts w:ascii="Calibri" w:eastAsia="Calibri" w:hAnsi="Calibri" w:cs="Calibri"/>
                <w:color w:val="3D3A37"/>
                <w:sz w:val="22"/>
              </w:rPr>
              <w:t>We further submit that the current exceptions to the TPM provisions unjustifiably interfere with freedom of speech.</w:t>
            </w:r>
            <w:r w:rsidRPr="00287A09">
              <w:rPr>
                <w:rFonts w:ascii="Calibri" w:eastAsia="Calibri" w:hAnsi="Calibri" w:cs="Calibri"/>
                <w:color w:val="3D3A37"/>
                <w:sz w:val="22"/>
                <w:shd w:val="clear" w:color="auto" w:fill="F4FBFF"/>
              </w:rPr>
              <w:t xml:space="preserve"> </w:t>
            </w:r>
          </w:p>
          <w:p w14:paraId="2D6D7557" w14:textId="77777777" w:rsidR="00287A09" w:rsidRPr="00287A09" w:rsidRDefault="00287A09" w:rsidP="00287A09">
            <w:r w:rsidRPr="00AD4AC2">
              <w:rPr>
                <w:color w:val="3D3A37"/>
                <w:sz w:val="20"/>
              </w:rPr>
              <w:t>As such, we propose:</w:t>
            </w:r>
            <w:r w:rsidRPr="00287A09">
              <w:rPr>
                <w:color w:val="3D3A37"/>
                <w:sz w:val="20"/>
                <w:shd w:val="clear" w:color="auto" w:fill="F4FBFF"/>
              </w:rPr>
              <w:t xml:space="preserve"> </w:t>
            </w:r>
          </w:p>
          <w:p w14:paraId="22D32249" w14:textId="3CA08969" w:rsidR="00AD4AC2" w:rsidRDefault="00AD4AC2" w:rsidP="00AD4AC2">
            <w:pPr>
              <w:numPr>
                <w:ilvl w:val="0"/>
                <w:numId w:val="1"/>
              </w:numPr>
              <w:spacing w:after="0"/>
              <w:ind w:hanging="359"/>
              <w:contextualSpacing/>
              <w:rPr>
                <w:b/>
                <w:sz w:val="22"/>
              </w:rPr>
            </w:pPr>
            <w:r>
              <w:rPr>
                <w:rFonts w:ascii="Calibri" w:eastAsia="Calibri" w:hAnsi="Calibri" w:cs="Calibri"/>
                <w:b/>
                <w:sz w:val="22"/>
              </w:rPr>
              <w:t>Removal of</w:t>
            </w:r>
            <w:r w:rsidR="00364B2B">
              <w:rPr>
                <w:rFonts w:ascii="Calibri" w:eastAsia="Calibri" w:hAnsi="Calibri" w:cs="Calibri"/>
                <w:b/>
                <w:sz w:val="22"/>
              </w:rPr>
              <w:t xml:space="preserve"> some of</w:t>
            </w:r>
            <w:r>
              <w:rPr>
                <w:rFonts w:ascii="Calibri" w:eastAsia="Calibri" w:hAnsi="Calibri" w:cs="Calibri"/>
                <w:b/>
                <w:sz w:val="22"/>
              </w:rPr>
              <w:t xml:space="preserve"> the existing copyright exceptions</w:t>
            </w:r>
            <w:r w:rsidR="00364B2B">
              <w:rPr>
                <w:rFonts w:ascii="Calibri" w:eastAsia="Calibri" w:hAnsi="Calibri" w:cs="Calibri"/>
                <w:b/>
                <w:sz w:val="22"/>
              </w:rPr>
              <w:t xml:space="preserve"> (as previously identified by the ALRC)</w:t>
            </w:r>
            <w:r>
              <w:rPr>
                <w:rFonts w:ascii="Calibri" w:eastAsia="Calibri" w:hAnsi="Calibri" w:cs="Calibri"/>
                <w:b/>
                <w:sz w:val="22"/>
              </w:rPr>
              <w:t xml:space="preserve"> to be replaced with a fair use exception to copyright infringement</w:t>
            </w:r>
          </w:p>
          <w:p w14:paraId="18D71BD2" w14:textId="44914322" w:rsidR="00AD4AC2" w:rsidRDefault="00AD4AC2" w:rsidP="00AD4AC2">
            <w:pPr>
              <w:numPr>
                <w:ilvl w:val="0"/>
                <w:numId w:val="1"/>
              </w:numPr>
              <w:spacing w:before="0" w:after="0"/>
              <w:ind w:hanging="359"/>
              <w:contextualSpacing/>
              <w:rPr>
                <w:b/>
                <w:sz w:val="22"/>
              </w:rPr>
            </w:pPr>
            <w:r>
              <w:rPr>
                <w:rFonts w:ascii="Calibri" w:eastAsia="Calibri" w:hAnsi="Calibri" w:cs="Calibri"/>
                <w:b/>
                <w:sz w:val="22"/>
              </w:rPr>
              <w:t>Addition of exceptions to the technological protection measures (TPM) provisions to enhance free speech</w:t>
            </w:r>
            <w:r w:rsidR="00364B2B">
              <w:rPr>
                <w:rFonts w:ascii="Calibri" w:eastAsia="Calibri" w:hAnsi="Calibri" w:cs="Calibri"/>
                <w:b/>
                <w:sz w:val="22"/>
              </w:rPr>
              <w:t xml:space="preserve">, including, in particular, the inclusion of a mechanism to ensure that people with a legitimate claim to fair use of material do not risk civil, and in particular, </w:t>
            </w:r>
            <w:r w:rsidR="00364B2B">
              <w:rPr>
                <w:rFonts w:ascii="Calibri" w:eastAsia="Calibri" w:hAnsi="Calibri" w:cs="Calibri"/>
                <w:b/>
                <w:i/>
                <w:sz w:val="22"/>
              </w:rPr>
              <w:t xml:space="preserve">criminal </w:t>
            </w:r>
            <w:r w:rsidR="00364B2B">
              <w:rPr>
                <w:rFonts w:ascii="Calibri" w:eastAsia="Calibri" w:hAnsi="Calibri" w:cs="Calibri"/>
                <w:b/>
                <w:sz w:val="22"/>
              </w:rPr>
              <w:t>liability for circumvention</w:t>
            </w:r>
          </w:p>
          <w:p w14:paraId="56E16D0B" w14:textId="4B6C2C20" w:rsidR="00287A09" w:rsidRPr="00AD4AC2" w:rsidRDefault="00AD4AC2" w:rsidP="00AD4AC2">
            <w:pPr>
              <w:numPr>
                <w:ilvl w:val="0"/>
                <w:numId w:val="1"/>
              </w:numPr>
              <w:spacing w:before="0" w:after="0"/>
              <w:ind w:hanging="359"/>
              <w:contextualSpacing/>
              <w:rPr>
                <w:b/>
                <w:sz w:val="22"/>
              </w:rPr>
            </w:pPr>
            <w:r>
              <w:rPr>
                <w:rFonts w:ascii="Calibri" w:eastAsia="Calibri" w:hAnsi="Calibri" w:cs="Calibri"/>
                <w:b/>
                <w:sz w:val="22"/>
              </w:rPr>
              <w:t>Protection of copyright exceptions  from contractual override</w:t>
            </w:r>
          </w:p>
        </w:tc>
      </w:tr>
    </w:tbl>
    <w:p w14:paraId="6EC570FF" w14:textId="77777777" w:rsidR="0051286B" w:rsidRDefault="0051286B">
      <w:pPr>
        <w:rPr>
          <w:rFonts w:ascii="Calibri" w:eastAsia="Calibri" w:hAnsi="Calibri" w:cs="Calibri"/>
          <w:b/>
          <w:sz w:val="28"/>
          <w:highlight w:val="white"/>
        </w:rPr>
      </w:pPr>
    </w:p>
    <w:p w14:paraId="60309DED" w14:textId="77777777" w:rsidR="0051286B" w:rsidRDefault="0051286B">
      <w:pPr>
        <w:rPr>
          <w:rFonts w:ascii="Calibri" w:eastAsia="Calibri" w:hAnsi="Calibri" w:cs="Calibri"/>
          <w:b/>
          <w:sz w:val="28"/>
          <w:highlight w:val="white"/>
        </w:rPr>
      </w:pPr>
      <w:r>
        <w:rPr>
          <w:rFonts w:ascii="Calibri" w:eastAsia="Calibri" w:hAnsi="Calibri" w:cs="Calibri"/>
          <w:b/>
          <w:sz w:val="28"/>
          <w:highlight w:val="white"/>
        </w:rPr>
        <w:br w:type="page"/>
      </w:r>
    </w:p>
    <w:p w14:paraId="6B23D488" w14:textId="278CD0BD" w:rsidR="008B6E01" w:rsidRDefault="00A93D53">
      <w:r>
        <w:rPr>
          <w:rFonts w:ascii="Calibri" w:eastAsia="Calibri" w:hAnsi="Calibri" w:cs="Calibri"/>
          <w:b/>
          <w:sz w:val="28"/>
          <w:highlight w:val="white"/>
        </w:rPr>
        <w:lastRenderedPageBreak/>
        <w:t>Burden of Proof</w:t>
      </w:r>
    </w:p>
    <w:p w14:paraId="589D6096" w14:textId="77777777" w:rsidR="008B6E01" w:rsidRDefault="00A93D53">
      <w:r>
        <w:rPr>
          <w:rFonts w:ascii="Calibri" w:eastAsia="Calibri" w:hAnsi="Calibri" w:cs="Calibri"/>
          <w:sz w:val="22"/>
          <w:highlight w:val="white"/>
        </w:rPr>
        <w:t xml:space="preserve">The Act contains several provisions that shift the burden of proof towards the defendant. There are four criminal offences, which we understand are of primary interest to this inquiry. These are all presumptions regarding the ownership and authenticity of copyright material. </w:t>
      </w:r>
    </w:p>
    <w:p w14:paraId="288F4C03" w14:textId="0FE59C13" w:rsidR="008B6E01" w:rsidRDefault="00A93D53">
      <w:r>
        <w:rPr>
          <w:rFonts w:ascii="Calibri" w:eastAsia="Calibri" w:hAnsi="Calibri" w:cs="Calibri"/>
          <w:sz w:val="22"/>
          <w:highlight w:val="white"/>
        </w:rPr>
        <w:t>The table below contains all the presumptions that shift the burden of proof in civil and criminal provisions.</w:t>
      </w:r>
      <w:r w:rsidR="00AD4AC2">
        <w:rPr>
          <w:rStyle w:val="FootnoteReference"/>
          <w:rFonts w:ascii="Calibri" w:eastAsia="Calibri" w:hAnsi="Calibri" w:cs="Calibri"/>
          <w:sz w:val="22"/>
          <w:highlight w:val="white"/>
        </w:rPr>
        <w:footnoteReference w:id="12"/>
      </w:r>
      <w:r>
        <w:rPr>
          <w:rFonts w:ascii="Calibri" w:eastAsia="Calibri" w:hAnsi="Calibri" w:cs="Calibri"/>
          <w:sz w:val="22"/>
          <w:highlight w:val="white"/>
        </w:rPr>
        <w:t xml:space="preserve"> While we understand that the Commission is looking into criminal presumptions, the civil presumptions in ss130A-C of the Act that copies are infringing copies are also highly troubling.  </w:t>
      </w:r>
    </w:p>
    <w:p w14:paraId="1C63C9B0" w14:textId="33EA4F27" w:rsidR="008B6E01" w:rsidRDefault="00A93D53">
      <w:r>
        <w:rPr>
          <w:b/>
          <w:sz w:val="20"/>
        </w:rPr>
        <w:t>Copyright Presumptions in Australian Law</w:t>
      </w:r>
    </w:p>
    <w:tbl>
      <w:tblPr>
        <w:tblStyle w:val="a"/>
        <w:tblW w:w="903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127"/>
        <w:gridCol w:w="5670"/>
      </w:tblGrid>
      <w:tr w:rsidR="008B6E01" w14:paraId="195E6A22" w14:textId="77777777">
        <w:tc>
          <w:tcPr>
            <w:tcW w:w="1242" w:type="dxa"/>
            <w:tcMar>
              <w:top w:w="108" w:type="dxa"/>
              <w:bottom w:w="108" w:type="dxa"/>
            </w:tcMar>
          </w:tcPr>
          <w:p w14:paraId="3B3D1A10" w14:textId="77777777" w:rsidR="008B6E01" w:rsidRDefault="00A93D53">
            <w:r>
              <w:rPr>
                <w:sz w:val="20"/>
              </w:rPr>
              <w:t>Provision</w:t>
            </w:r>
          </w:p>
        </w:tc>
        <w:tc>
          <w:tcPr>
            <w:tcW w:w="2127" w:type="dxa"/>
            <w:tcMar>
              <w:top w:w="108" w:type="dxa"/>
              <w:bottom w:w="108" w:type="dxa"/>
            </w:tcMar>
          </w:tcPr>
          <w:p w14:paraId="321DA956" w14:textId="77777777" w:rsidR="008B6E01" w:rsidRDefault="00A93D53">
            <w:r>
              <w:rPr>
                <w:sz w:val="20"/>
              </w:rPr>
              <w:t>Criminal or Civil?</w:t>
            </w:r>
          </w:p>
        </w:tc>
        <w:tc>
          <w:tcPr>
            <w:tcW w:w="5670" w:type="dxa"/>
            <w:tcMar>
              <w:top w:w="108" w:type="dxa"/>
              <w:bottom w:w="108" w:type="dxa"/>
            </w:tcMar>
          </w:tcPr>
          <w:p w14:paraId="36F613B2" w14:textId="77777777" w:rsidR="008B6E01" w:rsidRDefault="00A93D53">
            <w:r>
              <w:rPr>
                <w:sz w:val="20"/>
              </w:rPr>
              <w:t>Presumption</w:t>
            </w:r>
          </w:p>
        </w:tc>
      </w:tr>
      <w:tr w:rsidR="008B6E01" w14:paraId="32D4C069" w14:textId="77777777">
        <w:tc>
          <w:tcPr>
            <w:tcW w:w="1242" w:type="dxa"/>
            <w:tcMar>
              <w:top w:w="108" w:type="dxa"/>
              <w:bottom w:w="108" w:type="dxa"/>
            </w:tcMar>
          </w:tcPr>
          <w:p w14:paraId="561A655B" w14:textId="77777777" w:rsidR="008B6E01" w:rsidRDefault="00A93D53">
            <w:r>
              <w:rPr>
                <w:sz w:val="20"/>
              </w:rPr>
              <w:t>126</w:t>
            </w:r>
          </w:p>
        </w:tc>
        <w:tc>
          <w:tcPr>
            <w:tcW w:w="2127" w:type="dxa"/>
            <w:tcMar>
              <w:top w:w="108" w:type="dxa"/>
              <w:bottom w:w="108" w:type="dxa"/>
            </w:tcMar>
          </w:tcPr>
          <w:p w14:paraId="4DAF2714" w14:textId="77777777" w:rsidR="008B6E01" w:rsidRDefault="00A93D53">
            <w:r>
              <w:rPr>
                <w:sz w:val="20"/>
              </w:rPr>
              <w:t>Civil</w:t>
            </w:r>
          </w:p>
        </w:tc>
        <w:tc>
          <w:tcPr>
            <w:tcW w:w="5670" w:type="dxa"/>
            <w:tcMar>
              <w:top w:w="108" w:type="dxa"/>
              <w:bottom w:w="108" w:type="dxa"/>
            </w:tcMar>
          </w:tcPr>
          <w:p w14:paraId="537B0DFF" w14:textId="77777777" w:rsidR="008B6E01" w:rsidRDefault="00A93D53">
            <w:r>
              <w:rPr>
                <w:sz w:val="20"/>
              </w:rPr>
              <w:t>Subsistence presumed if defendant does not put in issue.</w:t>
            </w:r>
          </w:p>
        </w:tc>
      </w:tr>
      <w:tr w:rsidR="008B6E01" w14:paraId="775715B9" w14:textId="77777777">
        <w:tc>
          <w:tcPr>
            <w:tcW w:w="1242" w:type="dxa"/>
            <w:tcMar>
              <w:top w:w="108" w:type="dxa"/>
              <w:bottom w:w="108" w:type="dxa"/>
            </w:tcMar>
          </w:tcPr>
          <w:p w14:paraId="26E64EA4" w14:textId="77777777" w:rsidR="008B6E01" w:rsidRDefault="00A93D53">
            <w:r>
              <w:rPr>
                <w:sz w:val="20"/>
              </w:rPr>
              <w:t>126</w:t>
            </w:r>
          </w:p>
        </w:tc>
        <w:tc>
          <w:tcPr>
            <w:tcW w:w="2127" w:type="dxa"/>
            <w:tcMar>
              <w:top w:w="108" w:type="dxa"/>
              <w:bottom w:w="108" w:type="dxa"/>
            </w:tcMar>
          </w:tcPr>
          <w:p w14:paraId="6C63C2E4" w14:textId="77777777" w:rsidR="008B6E01" w:rsidRDefault="00A93D53">
            <w:r>
              <w:rPr>
                <w:sz w:val="20"/>
              </w:rPr>
              <w:t>Civil</w:t>
            </w:r>
          </w:p>
        </w:tc>
        <w:tc>
          <w:tcPr>
            <w:tcW w:w="5670" w:type="dxa"/>
            <w:tcMar>
              <w:top w:w="108" w:type="dxa"/>
              <w:bottom w:w="108" w:type="dxa"/>
            </w:tcMar>
          </w:tcPr>
          <w:p w14:paraId="4A389273" w14:textId="77777777" w:rsidR="008B6E01" w:rsidRDefault="00A93D53">
            <w:r>
              <w:rPr>
                <w:sz w:val="20"/>
              </w:rPr>
              <w:t>Ownership presumed if defendant does not put in issue</w:t>
            </w:r>
          </w:p>
        </w:tc>
      </w:tr>
      <w:tr w:rsidR="008B6E01" w14:paraId="208B77C4" w14:textId="77777777">
        <w:tc>
          <w:tcPr>
            <w:tcW w:w="1242" w:type="dxa"/>
            <w:tcMar>
              <w:top w:w="108" w:type="dxa"/>
              <w:bottom w:w="108" w:type="dxa"/>
            </w:tcMar>
          </w:tcPr>
          <w:p w14:paraId="62E95324" w14:textId="77777777" w:rsidR="008B6E01" w:rsidRDefault="00A93D53">
            <w:r>
              <w:rPr>
                <w:sz w:val="20"/>
              </w:rPr>
              <w:t>126A</w:t>
            </w:r>
          </w:p>
        </w:tc>
        <w:tc>
          <w:tcPr>
            <w:tcW w:w="2127" w:type="dxa"/>
            <w:tcMar>
              <w:top w:w="108" w:type="dxa"/>
              <w:bottom w:w="108" w:type="dxa"/>
            </w:tcMar>
          </w:tcPr>
          <w:p w14:paraId="2C276C83" w14:textId="77777777" w:rsidR="008B6E01" w:rsidRDefault="00A93D53">
            <w:r>
              <w:rPr>
                <w:sz w:val="20"/>
              </w:rPr>
              <w:t>Civil</w:t>
            </w:r>
          </w:p>
        </w:tc>
        <w:tc>
          <w:tcPr>
            <w:tcW w:w="5670" w:type="dxa"/>
            <w:tcMar>
              <w:top w:w="108" w:type="dxa"/>
              <w:bottom w:w="108" w:type="dxa"/>
            </w:tcMar>
          </w:tcPr>
          <w:p w14:paraId="7F7AAEA9" w14:textId="77777777" w:rsidR="008B6E01" w:rsidRDefault="00A93D53">
            <w:bookmarkStart w:id="0" w:name="h.gjdgxs" w:colFirst="0" w:colLast="0"/>
            <w:bookmarkEnd w:id="0"/>
            <w:r>
              <w:rPr>
                <w:sz w:val="20"/>
              </w:rPr>
              <w:t>Labels and marks stating year/place of publication and foreign certificates presumed as stated unless contrary is proved.</w:t>
            </w:r>
          </w:p>
        </w:tc>
      </w:tr>
      <w:tr w:rsidR="008B6E01" w14:paraId="080049FE" w14:textId="77777777">
        <w:tc>
          <w:tcPr>
            <w:tcW w:w="1242" w:type="dxa"/>
            <w:tcMar>
              <w:top w:w="108" w:type="dxa"/>
              <w:bottom w:w="108" w:type="dxa"/>
            </w:tcMar>
          </w:tcPr>
          <w:p w14:paraId="217E631C" w14:textId="77777777" w:rsidR="008B6E01" w:rsidRDefault="00A93D53">
            <w:r>
              <w:rPr>
                <w:sz w:val="20"/>
              </w:rPr>
              <w:t>126B</w:t>
            </w:r>
          </w:p>
        </w:tc>
        <w:tc>
          <w:tcPr>
            <w:tcW w:w="2127" w:type="dxa"/>
            <w:tcMar>
              <w:top w:w="108" w:type="dxa"/>
              <w:bottom w:w="108" w:type="dxa"/>
            </w:tcMar>
          </w:tcPr>
          <w:p w14:paraId="08ACF8E6" w14:textId="77777777" w:rsidR="008B6E01" w:rsidRDefault="00A93D53">
            <w:r>
              <w:rPr>
                <w:sz w:val="20"/>
              </w:rPr>
              <w:t>Civil</w:t>
            </w:r>
          </w:p>
        </w:tc>
        <w:tc>
          <w:tcPr>
            <w:tcW w:w="5670" w:type="dxa"/>
            <w:tcMar>
              <w:top w:w="108" w:type="dxa"/>
              <w:bottom w:w="108" w:type="dxa"/>
            </w:tcMar>
          </w:tcPr>
          <w:p w14:paraId="6ED54D38" w14:textId="77777777" w:rsidR="008B6E01" w:rsidRDefault="00A93D53">
            <w:r>
              <w:rPr>
                <w:sz w:val="20"/>
              </w:rPr>
              <w:t>Labels/marks/foreign certificates stating plaintiff is the owner presumed to be as stated unless contrary established, and label/ mark/certificate can be first point in a chain of ownership.</w:t>
            </w:r>
          </w:p>
        </w:tc>
      </w:tr>
      <w:tr w:rsidR="008B6E01" w14:paraId="2A610F2B" w14:textId="77777777">
        <w:tc>
          <w:tcPr>
            <w:tcW w:w="1242" w:type="dxa"/>
            <w:tcMar>
              <w:top w:w="108" w:type="dxa"/>
              <w:bottom w:w="108" w:type="dxa"/>
            </w:tcMar>
          </w:tcPr>
          <w:p w14:paraId="0E235770" w14:textId="77777777" w:rsidR="008B6E01" w:rsidRDefault="00A93D53">
            <w:r>
              <w:rPr>
                <w:sz w:val="20"/>
              </w:rPr>
              <w:t>127</w:t>
            </w:r>
          </w:p>
        </w:tc>
        <w:tc>
          <w:tcPr>
            <w:tcW w:w="2127" w:type="dxa"/>
            <w:tcMar>
              <w:top w:w="108" w:type="dxa"/>
              <w:bottom w:w="108" w:type="dxa"/>
            </w:tcMar>
          </w:tcPr>
          <w:p w14:paraId="7CDE2612" w14:textId="77777777" w:rsidR="008B6E01" w:rsidRDefault="00A93D53">
            <w:r>
              <w:rPr>
                <w:sz w:val="20"/>
              </w:rPr>
              <w:t>Civil</w:t>
            </w:r>
          </w:p>
        </w:tc>
        <w:tc>
          <w:tcPr>
            <w:tcW w:w="5670" w:type="dxa"/>
            <w:tcMar>
              <w:top w:w="108" w:type="dxa"/>
              <w:bottom w:w="108" w:type="dxa"/>
            </w:tcMar>
          </w:tcPr>
          <w:p w14:paraId="71677E31" w14:textId="77777777" w:rsidR="008B6E01" w:rsidRDefault="00A93D53">
            <w:r>
              <w:rPr>
                <w:sz w:val="20"/>
              </w:rPr>
              <w:t>Presumption of authorship if name appears as author on copies.</w:t>
            </w:r>
          </w:p>
        </w:tc>
      </w:tr>
      <w:tr w:rsidR="008B6E01" w14:paraId="0835F1BC" w14:textId="77777777">
        <w:tc>
          <w:tcPr>
            <w:tcW w:w="1242" w:type="dxa"/>
            <w:tcMar>
              <w:top w:w="108" w:type="dxa"/>
              <w:bottom w:w="108" w:type="dxa"/>
            </w:tcMar>
          </w:tcPr>
          <w:p w14:paraId="688FB7B7" w14:textId="77777777" w:rsidR="008B6E01" w:rsidRDefault="00A93D53">
            <w:r>
              <w:rPr>
                <w:sz w:val="20"/>
              </w:rPr>
              <w:t>128</w:t>
            </w:r>
          </w:p>
        </w:tc>
        <w:tc>
          <w:tcPr>
            <w:tcW w:w="2127" w:type="dxa"/>
            <w:tcMar>
              <w:top w:w="108" w:type="dxa"/>
              <w:bottom w:w="108" w:type="dxa"/>
            </w:tcMar>
          </w:tcPr>
          <w:p w14:paraId="6C87D22D" w14:textId="77777777" w:rsidR="008B6E01" w:rsidRDefault="00A93D53">
            <w:r>
              <w:rPr>
                <w:sz w:val="20"/>
              </w:rPr>
              <w:t>Civil</w:t>
            </w:r>
          </w:p>
        </w:tc>
        <w:tc>
          <w:tcPr>
            <w:tcW w:w="5670" w:type="dxa"/>
            <w:tcMar>
              <w:top w:w="108" w:type="dxa"/>
              <w:bottom w:w="108" w:type="dxa"/>
            </w:tcMar>
          </w:tcPr>
          <w:p w14:paraId="3196FB5D" w14:textId="77777777" w:rsidR="008B6E01" w:rsidRDefault="00A93D53">
            <w:r>
              <w:rPr>
                <w:sz w:val="20"/>
              </w:rPr>
              <w:t>Presumption that name appearing as publisher was publisher unless contrary established.</w:t>
            </w:r>
          </w:p>
        </w:tc>
      </w:tr>
      <w:tr w:rsidR="008B6E01" w14:paraId="42C541A9" w14:textId="77777777">
        <w:tc>
          <w:tcPr>
            <w:tcW w:w="1242" w:type="dxa"/>
            <w:tcMar>
              <w:top w:w="108" w:type="dxa"/>
              <w:bottom w:w="108" w:type="dxa"/>
            </w:tcMar>
          </w:tcPr>
          <w:p w14:paraId="18876FB3" w14:textId="77777777" w:rsidR="008B6E01" w:rsidRDefault="00A93D53">
            <w:r>
              <w:rPr>
                <w:sz w:val="20"/>
              </w:rPr>
              <w:t>129</w:t>
            </w:r>
          </w:p>
        </w:tc>
        <w:tc>
          <w:tcPr>
            <w:tcW w:w="2127" w:type="dxa"/>
            <w:tcMar>
              <w:top w:w="108" w:type="dxa"/>
              <w:bottom w:w="108" w:type="dxa"/>
            </w:tcMar>
          </w:tcPr>
          <w:p w14:paraId="1ED4D48F" w14:textId="77777777" w:rsidR="008B6E01" w:rsidRDefault="00A93D53">
            <w:r>
              <w:rPr>
                <w:sz w:val="20"/>
              </w:rPr>
              <w:t>Civil</w:t>
            </w:r>
          </w:p>
        </w:tc>
        <w:tc>
          <w:tcPr>
            <w:tcW w:w="5670" w:type="dxa"/>
            <w:tcMar>
              <w:top w:w="108" w:type="dxa"/>
              <w:bottom w:w="108" w:type="dxa"/>
            </w:tcMar>
          </w:tcPr>
          <w:p w14:paraId="65EB4412" w14:textId="77777777" w:rsidR="008B6E01" w:rsidRDefault="00A93D53">
            <w:r>
              <w:rPr>
                <w:sz w:val="20"/>
              </w:rPr>
              <w:t xml:space="preserve">Where author is dead, work is presumed original unless contrary is established and first publication is assumed as alleged by </w:t>
            </w:r>
            <w:proofErr w:type="gramStart"/>
            <w:r>
              <w:rPr>
                <w:sz w:val="20"/>
              </w:rPr>
              <w:t>plaintiff.</w:t>
            </w:r>
            <w:proofErr w:type="gramEnd"/>
          </w:p>
          <w:p w14:paraId="0D9F4361" w14:textId="77777777" w:rsidR="008B6E01" w:rsidRDefault="008B6E01"/>
          <w:p w14:paraId="31E895BD" w14:textId="77777777" w:rsidR="008B6E01" w:rsidRDefault="00A93D53">
            <w:r>
              <w:rPr>
                <w:sz w:val="20"/>
              </w:rPr>
              <w:lastRenderedPageBreak/>
              <w:t>Where work published anonymously or pseudonymously, work presumed original and first publication is assumed as alleged by plaintiff.</w:t>
            </w:r>
          </w:p>
        </w:tc>
      </w:tr>
      <w:tr w:rsidR="008B6E01" w14:paraId="5E5227E5" w14:textId="77777777">
        <w:tc>
          <w:tcPr>
            <w:tcW w:w="1242" w:type="dxa"/>
            <w:tcMar>
              <w:top w:w="108" w:type="dxa"/>
              <w:bottom w:w="108" w:type="dxa"/>
            </w:tcMar>
          </w:tcPr>
          <w:p w14:paraId="2474CD9B" w14:textId="77777777" w:rsidR="008B6E01" w:rsidRDefault="00A93D53">
            <w:r>
              <w:rPr>
                <w:sz w:val="20"/>
              </w:rPr>
              <w:lastRenderedPageBreak/>
              <w:t>129A</w:t>
            </w:r>
          </w:p>
        </w:tc>
        <w:tc>
          <w:tcPr>
            <w:tcW w:w="2127" w:type="dxa"/>
            <w:tcMar>
              <w:top w:w="108" w:type="dxa"/>
              <w:bottom w:w="108" w:type="dxa"/>
            </w:tcMar>
          </w:tcPr>
          <w:p w14:paraId="30008BA6" w14:textId="77777777" w:rsidR="008B6E01" w:rsidRDefault="00A93D53">
            <w:r>
              <w:rPr>
                <w:sz w:val="20"/>
              </w:rPr>
              <w:t>Civil</w:t>
            </w:r>
          </w:p>
        </w:tc>
        <w:tc>
          <w:tcPr>
            <w:tcW w:w="5670" w:type="dxa"/>
            <w:tcMar>
              <w:top w:w="108" w:type="dxa"/>
              <w:bottom w:w="108" w:type="dxa"/>
            </w:tcMar>
          </w:tcPr>
          <w:p w14:paraId="1FFA3F11" w14:textId="77777777" w:rsidR="008B6E01" w:rsidRDefault="00A93D53">
            <w:r>
              <w:rPr>
                <w:sz w:val="20"/>
              </w:rPr>
              <w:t>Computer programs bearing label with © and a year/name – program is presumed original, year is presumed year of first publication and person named is presumed owner unless contrary is established.</w:t>
            </w:r>
          </w:p>
        </w:tc>
      </w:tr>
      <w:tr w:rsidR="008B6E01" w14:paraId="4DAEADDE" w14:textId="77777777">
        <w:tc>
          <w:tcPr>
            <w:tcW w:w="1242" w:type="dxa"/>
            <w:tcMar>
              <w:top w:w="108" w:type="dxa"/>
              <w:bottom w:w="108" w:type="dxa"/>
            </w:tcMar>
          </w:tcPr>
          <w:p w14:paraId="10D1694A" w14:textId="77777777" w:rsidR="008B6E01" w:rsidRDefault="00A93D53">
            <w:r>
              <w:rPr>
                <w:sz w:val="20"/>
              </w:rPr>
              <w:t>130</w:t>
            </w:r>
          </w:p>
        </w:tc>
        <w:tc>
          <w:tcPr>
            <w:tcW w:w="2127" w:type="dxa"/>
            <w:tcMar>
              <w:top w:w="108" w:type="dxa"/>
              <w:bottom w:w="108" w:type="dxa"/>
            </w:tcMar>
          </w:tcPr>
          <w:p w14:paraId="4CC10157" w14:textId="77777777" w:rsidR="008B6E01" w:rsidRDefault="00A93D53">
            <w:r>
              <w:rPr>
                <w:sz w:val="20"/>
              </w:rPr>
              <w:t>Civil</w:t>
            </w:r>
          </w:p>
        </w:tc>
        <w:tc>
          <w:tcPr>
            <w:tcW w:w="5670" w:type="dxa"/>
            <w:tcMar>
              <w:top w:w="108" w:type="dxa"/>
              <w:bottom w:w="108" w:type="dxa"/>
            </w:tcMar>
          </w:tcPr>
          <w:p w14:paraId="235D4F0F" w14:textId="77777777" w:rsidR="008B6E01" w:rsidRDefault="00A93D53">
            <w:r>
              <w:rPr>
                <w:sz w:val="20"/>
              </w:rPr>
              <w:t>Labels/marks on sound recordings lead to presumptions on maker, year and country of publication, including if (p) mark is used.</w:t>
            </w:r>
          </w:p>
        </w:tc>
      </w:tr>
      <w:tr w:rsidR="008B6E01" w14:paraId="7B654D4C" w14:textId="77777777">
        <w:tc>
          <w:tcPr>
            <w:tcW w:w="1242" w:type="dxa"/>
            <w:tcMar>
              <w:top w:w="108" w:type="dxa"/>
              <w:bottom w:w="108" w:type="dxa"/>
            </w:tcMar>
          </w:tcPr>
          <w:p w14:paraId="4150F910" w14:textId="77777777" w:rsidR="008B6E01" w:rsidRDefault="00A93D53">
            <w:r>
              <w:rPr>
                <w:sz w:val="20"/>
              </w:rPr>
              <w:t>130A</w:t>
            </w:r>
          </w:p>
        </w:tc>
        <w:tc>
          <w:tcPr>
            <w:tcW w:w="2127" w:type="dxa"/>
            <w:tcMar>
              <w:top w:w="108" w:type="dxa"/>
              <w:bottom w:w="108" w:type="dxa"/>
            </w:tcMar>
          </w:tcPr>
          <w:p w14:paraId="5A6FA55D" w14:textId="77777777" w:rsidR="008B6E01" w:rsidRDefault="00A93D53">
            <w:r>
              <w:rPr>
                <w:sz w:val="20"/>
              </w:rPr>
              <w:t>Civil</w:t>
            </w:r>
          </w:p>
        </w:tc>
        <w:tc>
          <w:tcPr>
            <w:tcW w:w="5670" w:type="dxa"/>
            <w:tcMar>
              <w:top w:w="108" w:type="dxa"/>
              <w:bottom w:w="108" w:type="dxa"/>
            </w:tcMar>
          </w:tcPr>
          <w:p w14:paraId="0827D6BA" w14:textId="77777777" w:rsidR="008B6E01" w:rsidRDefault="00A93D53">
            <w:r>
              <w:rPr>
                <w:sz w:val="20"/>
              </w:rPr>
              <w:t xml:space="preserve">In action for importation or sale of infringing copies of sound recordings: copy is presumed </w:t>
            </w:r>
            <w:r>
              <w:rPr>
                <w:sz w:val="20"/>
                <w:u w:val="single"/>
              </w:rPr>
              <w:t>not</w:t>
            </w:r>
            <w:r>
              <w:rPr>
                <w:sz w:val="20"/>
              </w:rPr>
              <w:t xml:space="preserve"> to be a non-infringing copy unless contrary is proved.</w:t>
            </w:r>
          </w:p>
        </w:tc>
      </w:tr>
      <w:tr w:rsidR="008B6E01" w14:paraId="1DC01CEB" w14:textId="77777777">
        <w:tc>
          <w:tcPr>
            <w:tcW w:w="1242" w:type="dxa"/>
            <w:tcMar>
              <w:top w:w="108" w:type="dxa"/>
              <w:bottom w:w="108" w:type="dxa"/>
            </w:tcMar>
          </w:tcPr>
          <w:p w14:paraId="7853517F" w14:textId="77777777" w:rsidR="008B6E01" w:rsidRDefault="00A93D53">
            <w:r>
              <w:rPr>
                <w:sz w:val="20"/>
              </w:rPr>
              <w:t>130B</w:t>
            </w:r>
          </w:p>
        </w:tc>
        <w:tc>
          <w:tcPr>
            <w:tcW w:w="2127" w:type="dxa"/>
            <w:tcMar>
              <w:top w:w="108" w:type="dxa"/>
              <w:bottom w:w="108" w:type="dxa"/>
            </w:tcMar>
          </w:tcPr>
          <w:p w14:paraId="2F6A5CC4" w14:textId="77777777" w:rsidR="008B6E01" w:rsidRDefault="00A93D53">
            <w:r>
              <w:rPr>
                <w:sz w:val="20"/>
              </w:rPr>
              <w:t>Civil</w:t>
            </w:r>
          </w:p>
        </w:tc>
        <w:tc>
          <w:tcPr>
            <w:tcW w:w="5670" w:type="dxa"/>
            <w:tcMar>
              <w:top w:w="108" w:type="dxa"/>
              <w:bottom w:w="108" w:type="dxa"/>
            </w:tcMar>
          </w:tcPr>
          <w:p w14:paraId="1E7586C6" w14:textId="77777777" w:rsidR="008B6E01" w:rsidRDefault="00A93D53">
            <w:r>
              <w:rPr>
                <w:sz w:val="20"/>
              </w:rPr>
              <w:t xml:space="preserve">In action for importation or sale of infringing copies of computer programs: copy is presumed </w:t>
            </w:r>
            <w:r>
              <w:rPr>
                <w:sz w:val="20"/>
                <w:u w:val="single"/>
              </w:rPr>
              <w:t>not</w:t>
            </w:r>
            <w:r>
              <w:rPr>
                <w:sz w:val="20"/>
              </w:rPr>
              <w:t xml:space="preserve"> to be a non-infringing copy unless contrary is proved</w:t>
            </w:r>
          </w:p>
        </w:tc>
      </w:tr>
      <w:tr w:rsidR="008B6E01" w14:paraId="2C923DFD" w14:textId="77777777">
        <w:tc>
          <w:tcPr>
            <w:tcW w:w="1242" w:type="dxa"/>
            <w:tcMar>
              <w:top w:w="108" w:type="dxa"/>
              <w:bottom w:w="108" w:type="dxa"/>
            </w:tcMar>
          </w:tcPr>
          <w:p w14:paraId="6E2225AE" w14:textId="77777777" w:rsidR="008B6E01" w:rsidRDefault="00A93D53">
            <w:r>
              <w:rPr>
                <w:sz w:val="20"/>
              </w:rPr>
              <w:t>130C</w:t>
            </w:r>
          </w:p>
        </w:tc>
        <w:tc>
          <w:tcPr>
            <w:tcW w:w="2127" w:type="dxa"/>
            <w:tcMar>
              <w:top w:w="108" w:type="dxa"/>
              <w:bottom w:w="108" w:type="dxa"/>
            </w:tcMar>
          </w:tcPr>
          <w:p w14:paraId="2F0C7AE6" w14:textId="77777777" w:rsidR="008B6E01" w:rsidRDefault="00A93D53">
            <w:r>
              <w:rPr>
                <w:sz w:val="20"/>
              </w:rPr>
              <w:t>Civil</w:t>
            </w:r>
          </w:p>
        </w:tc>
        <w:tc>
          <w:tcPr>
            <w:tcW w:w="5670" w:type="dxa"/>
            <w:tcMar>
              <w:top w:w="108" w:type="dxa"/>
              <w:bottom w:w="108" w:type="dxa"/>
            </w:tcMar>
          </w:tcPr>
          <w:p w14:paraId="0CD3989C" w14:textId="77777777" w:rsidR="008B6E01" w:rsidRDefault="00A93D53">
            <w:r>
              <w:rPr>
                <w:sz w:val="20"/>
              </w:rPr>
              <w:t xml:space="preserve">In action for importation or sale of infringing copies of electronic literary or music items: copy is presumed </w:t>
            </w:r>
            <w:r>
              <w:rPr>
                <w:sz w:val="20"/>
                <w:u w:val="single"/>
              </w:rPr>
              <w:t>not</w:t>
            </w:r>
            <w:r>
              <w:rPr>
                <w:sz w:val="20"/>
              </w:rPr>
              <w:t xml:space="preserve"> to be a non-infringing copy unless contrary is proved</w:t>
            </w:r>
          </w:p>
        </w:tc>
      </w:tr>
      <w:tr w:rsidR="008B6E01" w14:paraId="2368CE99" w14:textId="77777777">
        <w:tc>
          <w:tcPr>
            <w:tcW w:w="1242" w:type="dxa"/>
            <w:tcMar>
              <w:top w:w="108" w:type="dxa"/>
              <w:bottom w:w="108" w:type="dxa"/>
            </w:tcMar>
          </w:tcPr>
          <w:p w14:paraId="0160D7EC" w14:textId="77777777" w:rsidR="008B6E01" w:rsidRDefault="00A93D53">
            <w:r>
              <w:rPr>
                <w:sz w:val="20"/>
              </w:rPr>
              <w:t>131</w:t>
            </w:r>
          </w:p>
        </w:tc>
        <w:tc>
          <w:tcPr>
            <w:tcW w:w="2127" w:type="dxa"/>
            <w:tcMar>
              <w:top w:w="108" w:type="dxa"/>
              <w:bottom w:w="108" w:type="dxa"/>
            </w:tcMar>
          </w:tcPr>
          <w:p w14:paraId="7B48375F" w14:textId="77777777" w:rsidR="008B6E01" w:rsidRDefault="00A93D53">
            <w:r>
              <w:rPr>
                <w:sz w:val="20"/>
              </w:rPr>
              <w:t>Civil</w:t>
            </w:r>
          </w:p>
        </w:tc>
        <w:tc>
          <w:tcPr>
            <w:tcW w:w="5670" w:type="dxa"/>
            <w:tcMar>
              <w:top w:w="108" w:type="dxa"/>
              <w:bottom w:w="108" w:type="dxa"/>
            </w:tcMar>
          </w:tcPr>
          <w:p w14:paraId="1C813206" w14:textId="77777777" w:rsidR="008B6E01" w:rsidRDefault="00A93D53">
            <w:r>
              <w:rPr>
                <w:sz w:val="20"/>
              </w:rPr>
              <w:t>Labels/marks on films lead to presumptions on maker, year and country of publication, including if © mark is used.</w:t>
            </w:r>
          </w:p>
        </w:tc>
      </w:tr>
      <w:tr w:rsidR="008B6E01" w14:paraId="004F76BB" w14:textId="77777777">
        <w:tc>
          <w:tcPr>
            <w:tcW w:w="1242" w:type="dxa"/>
            <w:tcMar>
              <w:top w:w="108" w:type="dxa"/>
              <w:bottom w:w="108" w:type="dxa"/>
            </w:tcMar>
          </w:tcPr>
          <w:p w14:paraId="06CA82D3" w14:textId="77777777" w:rsidR="008B6E01" w:rsidRDefault="00A93D53">
            <w:r>
              <w:rPr>
                <w:sz w:val="20"/>
              </w:rPr>
              <w:t>132A</w:t>
            </w:r>
          </w:p>
        </w:tc>
        <w:tc>
          <w:tcPr>
            <w:tcW w:w="2127" w:type="dxa"/>
            <w:tcMar>
              <w:top w:w="108" w:type="dxa"/>
              <w:bottom w:w="108" w:type="dxa"/>
            </w:tcMar>
          </w:tcPr>
          <w:p w14:paraId="220997D2" w14:textId="77777777" w:rsidR="008B6E01" w:rsidRDefault="00A93D53">
            <w:r>
              <w:rPr>
                <w:sz w:val="20"/>
              </w:rPr>
              <w:t>Criminal</w:t>
            </w:r>
          </w:p>
        </w:tc>
        <w:tc>
          <w:tcPr>
            <w:tcW w:w="5670" w:type="dxa"/>
            <w:tcMar>
              <w:top w:w="108" w:type="dxa"/>
              <w:bottom w:w="108" w:type="dxa"/>
            </w:tcMar>
          </w:tcPr>
          <w:p w14:paraId="65120B7C" w14:textId="77777777" w:rsidR="008B6E01" w:rsidRDefault="00A93D53">
            <w:r>
              <w:rPr>
                <w:sz w:val="20"/>
              </w:rPr>
              <w:t>Labels or marks on copies, packaging or containers, and foreign certificates presumed to correctly state year and place of first publication and owner unless contrary is established.</w:t>
            </w:r>
          </w:p>
        </w:tc>
      </w:tr>
      <w:tr w:rsidR="008B6E01" w14:paraId="5C8DFCDD" w14:textId="77777777">
        <w:tc>
          <w:tcPr>
            <w:tcW w:w="1242" w:type="dxa"/>
            <w:tcMar>
              <w:top w:w="108" w:type="dxa"/>
              <w:bottom w:w="108" w:type="dxa"/>
            </w:tcMar>
          </w:tcPr>
          <w:p w14:paraId="038A9FE1" w14:textId="77777777" w:rsidR="008B6E01" w:rsidRDefault="00A93D53">
            <w:r>
              <w:rPr>
                <w:sz w:val="20"/>
              </w:rPr>
              <w:t>132AAA</w:t>
            </w:r>
          </w:p>
        </w:tc>
        <w:tc>
          <w:tcPr>
            <w:tcW w:w="2127" w:type="dxa"/>
            <w:tcMar>
              <w:top w:w="108" w:type="dxa"/>
              <w:bottom w:w="108" w:type="dxa"/>
            </w:tcMar>
          </w:tcPr>
          <w:p w14:paraId="78243A33" w14:textId="77777777" w:rsidR="008B6E01" w:rsidRDefault="00A93D53">
            <w:r>
              <w:rPr>
                <w:sz w:val="20"/>
              </w:rPr>
              <w:t>Criminal</w:t>
            </w:r>
          </w:p>
        </w:tc>
        <w:tc>
          <w:tcPr>
            <w:tcW w:w="5670" w:type="dxa"/>
            <w:tcMar>
              <w:top w:w="108" w:type="dxa"/>
              <w:bottom w:w="108" w:type="dxa"/>
            </w:tcMar>
          </w:tcPr>
          <w:p w14:paraId="20D9BF56" w14:textId="77777777" w:rsidR="008B6E01" w:rsidRDefault="00A93D53">
            <w:r>
              <w:rPr>
                <w:sz w:val="20"/>
              </w:rPr>
              <w:t>Computer programs bearing label with © and a year/name – program is presumed original, year is presumed year of first publication and person named is presumed owner unless contrary is established</w:t>
            </w:r>
          </w:p>
        </w:tc>
      </w:tr>
      <w:tr w:rsidR="008B6E01" w14:paraId="39198B6A" w14:textId="77777777">
        <w:tc>
          <w:tcPr>
            <w:tcW w:w="1242" w:type="dxa"/>
            <w:tcMar>
              <w:top w:w="108" w:type="dxa"/>
              <w:bottom w:w="108" w:type="dxa"/>
            </w:tcMar>
          </w:tcPr>
          <w:p w14:paraId="4E2A9415" w14:textId="77777777" w:rsidR="008B6E01" w:rsidRDefault="00A93D53">
            <w:r>
              <w:rPr>
                <w:sz w:val="20"/>
              </w:rPr>
              <w:t>132B</w:t>
            </w:r>
          </w:p>
        </w:tc>
        <w:tc>
          <w:tcPr>
            <w:tcW w:w="2127" w:type="dxa"/>
            <w:tcMar>
              <w:top w:w="108" w:type="dxa"/>
              <w:bottom w:w="108" w:type="dxa"/>
            </w:tcMar>
          </w:tcPr>
          <w:p w14:paraId="527FD5C0" w14:textId="77777777" w:rsidR="008B6E01" w:rsidRDefault="00A93D53">
            <w:r>
              <w:rPr>
                <w:sz w:val="20"/>
              </w:rPr>
              <w:t>Criminal</w:t>
            </w:r>
          </w:p>
        </w:tc>
        <w:tc>
          <w:tcPr>
            <w:tcW w:w="5670" w:type="dxa"/>
            <w:tcMar>
              <w:top w:w="108" w:type="dxa"/>
              <w:bottom w:w="108" w:type="dxa"/>
            </w:tcMar>
          </w:tcPr>
          <w:p w14:paraId="0D3804B7" w14:textId="77777777" w:rsidR="008B6E01" w:rsidRDefault="00A93D53">
            <w:r>
              <w:rPr>
                <w:sz w:val="20"/>
              </w:rPr>
              <w:t>Labels/marks on sound recordings lead to presumptions on maker, year and country of publication, including if (p) mark is used.</w:t>
            </w:r>
          </w:p>
        </w:tc>
      </w:tr>
      <w:tr w:rsidR="008B6E01" w14:paraId="063DC4A8" w14:textId="77777777">
        <w:tc>
          <w:tcPr>
            <w:tcW w:w="1242" w:type="dxa"/>
            <w:tcMar>
              <w:top w:w="108" w:type="dxa"/>
              <w:bottom w:w="108" w:type="dxa"/>
            </w:tcMar>
          </w:tcPr>
          <w:p w14:paraId="24063E6C" w14:textId="77777777" w:rsidR="008B6E01" w:rsidRDefault="00A93D53">
            <w:r>
              <w:rPr>
                <w:sz w:val="20"/>
              </w:rPr>
              <w:lastRenderedPageBreak/>
              <w:t>132C</w:t>
            </w:r>
          </w:p>
        </w:tc>
        <w:tc>
          <w:tcPr>
            <w:tcW w:w="2127" w:type="dxa"/>
            <w:tcMar>
              <w:top w:w="108" w:type="dxa"/>
              <w:bottom w:w="108" w:type="dxa"/>
            </w:tcMar>
          </w:tcPr>
          <w:p w14:paraId="1E9571B4" w14:textId="77777777" w:rsidR="008B6E01" w:rsidRDefault="00A93D53">
            <w:r>
              <w:rPr>
                <w:sz w:val="20"/>
              </w:rPr>
              <w:t>Criminal</w:t>
            </w:r>
          </w:p>
        </w:tc>
        <w:tc>
          <w:tcPr>
            <w:tcW w:w="5670" w:type="dxa"/>
            <w:tcMar>
              <w:top w:w="108" w:type="dxa"/>
              <w:bottom w:w="108" w:type="dxa"/>
            </w:tcMar>
          </w:tcPr>
          <w:p w14:paraId="6637D045" w14:textId="77777777" w:rsidR="008B6E01" w:rsidRDefault="00A93D53">
            <w:r>
              <w:rPr>
                <w:sz w:val="20"/>
              </w:rPr>
              <w:t>If copies of films have name/year (with or without ©) it is presumed person is maker, and owner, and year is year of first publication unless contrary established.</w:t>
            </w:r>
          </w:p>
        </w:tc>
      </w:tr>
      <w:tr w:rsidR="008B6E01" w14:paraId="2DC6348E" w14:textId="77777777">
        <w:tc>
          <w:tcPr>
            <w:tcW w:w="1242" w:type="dxa"/>
            <w:tcMar>
              <w:top w:w="108" w:type="dxa"/>
              <w:bottom w:w="108" w:type="dxa"/>
            </w:tcMar>
          </w:tcPr>
          <w:p w14:paraId="0AAE0F7E" w14:textId="77777777" w:rsidR="008B6E01" w:rsidRDefault="00A93D53">
            <w:r>
              <w:rPr>
                <w:sz w:val="20"/>
              </w:rPr>
              <w:t>195AZD</w:t>
            </w:r>
          </w:p>
        </w:tc>
        <w:tc>
          <w:tcPr>
            <w:tcW w:w="2127" w:type="dxa"/>
            <w:tcMar>
              <w:top w:w="108" w:type="dxa"/>
              <w:bottom w:w="108" w:type="dxa"/>
            </w:tcMar>
          </w:tcPr>
          <w:p w14:paraId="5294F990" w14:textId="77777777" w:rsidR="008B6E01" w:rsidRDefault="00A93D53">
            <w:r>
              <w:rPr>
                <w:sz w:val="20"/>
              </w:rPr>
              <w:t>Civil – Moral Rights</w:t>
            </w:r>
          </w:p>
        </w:tc>
        <w:tc>
          <w:tcPr>
            <w:tcW w:w="5670" w:type="dxa"/>
            <w:tcMar>
              <w:top w:w="108" w:type="dxa"/>
              <w:bottom w:w="108" w:type="dxa"/>
            </w:tcMar>
          </w:tcPr>
          <w:p w14:paraId="3836EA45" w14:textId="77777777" w:rsidR="008B6E01" w:rsidRDefault="00A93D53">
            <w:r>
              <w:rPr>
                <w:sz w:val="20"/>
              </w:rPr>
              <w:t>Copyright presumed to subsist if defendant does not put subsistence in issue.</w:t>
            </w:r>
          </w:p>
        </w:tc>
      </w:tr>
      <w:tr w:rsidR="008B6E01" w14:paraId="6071B838" w14:textId="77777777">
        <w:tc>
          <w:tcPr>
            <w:tcW w:w="1242" w:type="dxa"/>
            <w:tcMar>
              <w:top w:w="108" w:type="dxa"/>
              <w:bottom w:w="108" w:type="dxa"/>
            </w:tcMar>
          </w:tcPr>
          <w:p w14:paraId="27DAFD1C" w14:textId="77777777" w:rsidR="008B6E01" w:rsidRDefault="00A93D53">
            <w:r>
              <w:rPr>
                <w:sz w:val="20"/>
              </w:rPr>
              <w:t>195AZE</w:t>
            </w:r>
          </w:p>
        </w:tc>
        <w:tc>
          <w:tcPr>
            <w:tcW w:w="2127" w:type="dxa"/>
            <w:tcMar>
              <w:top w:w="108" w:type="dxa"/>
              <w:bottom w:w="108" w:type="dxa"/>
            </w:tcMar>
          </w:tcPr>
          <w:p w14:paraId="172CE6A1" w14:textId="77777777" w:rsidR="008B6E01" w:rsidRDefault="00A93D53">
            <w:r>
              <w:rPr>
                <w:sz w:val="20"/>
              </w:rPr>
              <w:t>Civil – Moral Rights</w:t>
            </w:r>
          </w:p>
        </w:tc>
        <w:tc>
          <w:tcPr>
            <w:tcW w:w="5670" w:type="dxa"/>
            <w:tcMar>
              <w:top w:w="108" w:type="dxa"/>
              <w:bottom w:w="108" w:type="dxa"/>
            </w:tcMar>
          </w:tcPr>
          <w:p w14:paraId="30985E98" w14:textId="77777777" w:rsidR="008B6E01" w:rsidRDefault="00A93D53">
            <w:r>
              <w:rPr>
                <w:sz w:val="20"/>
              </w:rPr>
              <w:t>If copyright subsistence presumed, moral right is presumed to subsist.</w:t>
            </w:r>
          </w:p>
        </w:tc>
      </w:tr>
      <w:tr w:rsidR="008B6E01" w14:paraId="554847E2" w14:textId="77777777">
        <w:tc>
          <w:tcPr>
            <w:tcW w:w="1242" w:type="dxa"/>
            <w:tcMar>
              <w:top w:w="108" w:type="dxa"/>
              <w:bottom w:w="108" w:type="dxa"/>
            </w:tcMar>
          </w:tcPr>
          <w:p w14:paraId="05B535BB" w14:textId="77777777" w:rsidR="008B6E01" w:rsidRDefault="00A93D53">
            <w:r>
              <w:rPr>
                <w:sz w:val="20"/>
              </w:rPr>
              <w:t>195AZF</w:t>
            </w:r>
          </w:p>
        </w:tc>
        <w:tc>
          <w:tcPr>
            <w:tcW w:w="2127" w:type="dxa"/>
            <w:tcMar>
              <w:top w:w="108" w:type="dxa"/>
              <w:bottom w:w="108" w:type="dxa"/>
            </w:tcMar>
          </w:tcPr>
          <w:p w14:paraId="13DB044E" w14:textId="77777777" w:rsidR="008B6E01" w:rsidRDefault="00A93D53">
            <w:r>
              <w:rPr>
                <w:sz w:val="20"/>
              </w:rPr>
              <w:t>Civil – moral rights</w:t>
            </w:r>
          </w:p>
        </w:tc>
        <w:tc>
          <w:tcPr>
            <w:tcW w:w="5670" w:type="dxa"/>
            <w:tcMar>
              <w:top w:w="108" w:type="dxa"/>
              <w:bottom w:w="108" w:type="dxa"/>
            </w:tcMar>
          </w:tcPr>
          <w:p w14:paraId="5440CEBF" w14:textId="77777777" w:rsidR="008B6E01" w:rsidRDefault="00A93D53">
            <w:proofErr w:type="gramStart"/>
            <w:r>
              <w:rPr>
                <w:sz w:val="20"/>
              </w:rPr>
              <w:t>s127</w:t>
            </w:r>
            <w:proofErr w:type="gramEnd"/>
            <w:r>
              <w:rPr>
                <w:sz w:val="20"/>
              </w:rPr>
              <w:t xml:space="preserve"> presumption of authorship applies in moral rights cases, and name purporting to be director, producer or screenwriter is presumed to be so unless contrary is established.</w:t>
            </w:r>
          </w:p>
        </w:tc>
      </w:tr>
      <w:tr w:rsidR="008B6E01" w14:paraId="42EAE0E3" w14:textId="77777777">
        <w:tc>
          <w:tcPr>
            <w:tcW w:w="1242" w:type="dxa"/>
            <w:tcMar>
              <w:top w:w="108" w:type="dxa"/>
              <w:bottom w:w="108" w:type="dxa"/>
            </w:tcMar>
          </w:tcPr>
          <w:p w14:paraId="50FA826A" w14:textId="77777777" w:rsidR="008B6E01" w:rsidRDefault="00A93D53">
            <w:r>
              <w:rPr>
                <w:sz w:val="20"/>
              </w:rPr>
              <w:t>195AZG</w:t>
            </w:r>
          </w:p>
        </w:tc>
        <w:tc>
          <w:tcPr>
            <w:tcW w:w="2127" w:type="dxa"/>
            <w:tcMar>
              <w:top w:w="108" w:type="dxa"/>
              <w:bottom w:w="108" w:type="dxa"/>
            </w:tcMar>
          </w:tcPr>
          <w:p w14:paraId="356A0A21" w14:textId="77777777" w:rsidR="008B6E01" w:rsidRDefault="00A93D53">
            <w:r>
              <w:rPr>
                <w:sz w:val="20"/>
              </w:rPr>
              <w:t>Civil – moral rights</w:t>
            </w:r>
          </w:p>
        </w:tc>
        <w:tc>
          <w:tcPr>
            <w:tcW w:w="5670" w:type="dxa"/>
            <w:tcMar>
              <w:top w:w="108" w:type="dxa"/>
              <w:bottom w:w="108" w:type="dxa"/>
            </w:tcMar>
          </w:tcPr>
          <w:p w14:paraId="401363DD" w14:textId="77777777" w:rsidR="008B6E01" w:rsidRDefault="00A93D53">
            <w:proofErr w:type="spellStart"/>
            <w:proofErr w:type="gramStart"/>
            <w:r>
              <w:rPr>
                <w:sz w:val="20"/>
              </w:rPr>
              <w:t>ss</w:t>
            </w:r>
            <w:proofErr w:type="spellEnd"/>
            <w:proofErr w:type="gramEnd"/>
            <w:r>
              <w:rPr>
                <w:sz w:val="20"/>
              </w:rPr>
              <w:t xml:space="preserve"> 128 (presumption of publisher/publication) and 129 (presumption of originality) apply in moral rights cases.</w:t>
            </w:r>
          </w:p>
        </w:tc>
      </w:tr>
      <w:tr w:rsidR="008B6E01" w14:paraId="50F78FB7" w14:textId="77777777">
        <w:tc>
          <w:tcPr>
            <w:tcW w:w="1242" w:type="dxa"/>
            <w:tcMar>
              <w:top w:w="108" w:type="dxa"/>
              <w:bottom w:w="108" w:type="dxa"/>
            </w:tcMar>
          </w:tcPr>
          <w:p w14:paraId="47C248DE" w14:textId="77777777" w:rsidR="008B6E01" w:rsidRDefault="00A93D53">
            <w:r>
              <w:rPr>
                <w:sz w:val="20"/>
              </w:rPr>
              <w:t>195AZGD</w:t>
            </w:r>
          </w:p>
        </w:tc>
        <w:tc>
          <w:tcPr>
            <w:tcW w:w="2127" w:type="dxa"/>
            <w:tcMar>
              <w:top w:w="108" w:type="dxa"/>
              <w:bottom w:w="108" w:type="dxa"/>
            </w:tcMar>
          </w:tcPr>
          <w:p w14:paraId="037255C7" w14:textId="77777777" w:rsidR="008B6E01" w:rsidRDefault="00A93D53">
            <w:r>
              <w:rPr>
                <w:sz w:val="20"/>
              </w:rPr>
              <w:t>Civil – moral rights</w:t>
            </w:r>
          </w:p>
        </w:tc>
        <w:tc>
          <w:tcPr>
            <w:tcW w:w="5670" w:type="dxa"/>
            <w:tcMar>
              <w:top w:w="108" w:type="dxa"/>
              <w:bottom w:w="108" w:type="dxa"/>
            </w:tcMar>
          </w:tcPr>
          <w:p w14:paraId="545160B3" w14:textId="77777777" w:rsidR="008B6E01" w:rsidRDefault="00A93D53">
            <w:r>
              <w:rPr>
                <w:sz w:val="20"/>
              </w:rPr>
              <w:t>Presumption of copyright subsistence in recorded performance if subsistence not put in issue.</w:t>
            </w:r>
          </w:p>
        </w:tc>
      </w:tr>
      <w:tr w:rsidR="008B6E01" w14:paraId="2ABB9A1D" w14:textId="77777777">
        <w:tc>
          <w:tcPr>
            <w:tcW w:w="1242" w:type="dxa"/>
            <w:tcMar>
              <w:top w:w="108" w:type="dxa"/>
              <w:bottom w:w="108" w:type="dxa"/>
            </w:tcMar>
          </w:tcPr>
          <w:p w14:paraId="44512D68" w14:textId="77777777" w:rsidR="008B6E01" w:rsidRDefault="00A93D53">
            <w:r>
              <w:rPr>
                <w:sz w:val="20"/>
              </w:rPr>
              <w:t>195AZGE</w:t>
            </w:r>
          </w:p>
        </w:tc>
        <w:tc>
          <w:tcPr>
            <w:tcW w:w="2127" w:type="dxa"/>
            <w:tcMar>
              <w:top w:w="108" w:type="dxa"/>
              <w:bottom w:w="108" w:type="dxa"/>
            </w:tcMar>
          </w:tcPr>
          <w:p w14:paraId="7947C505" w14:textId="77777777" w:rsidR="008B6E01" w:rsidRDefault="00A93D53">
            <w:r>
              <w:rPr>
                <w:sz w:val="20"/>
              </w:rPr>
              <w:t>Civil – moral rights</w:t>
            </w:r>
          </w:p>
        </w:tc>
        <w:tc>
          <w:tcPr>
            <w:tcW w:w="5670" w:type="dxa"/>
            <w:tcMar>
              <w:top w:w="108" w:type="dxa"/>
              <w:bottom w:w="108" w:type="dxa"/>
            </w:tcMar>
          </w:tcPr>
          <w:p w14:paraId="515E53A4" w14:textId="77777777" w:rsidR="008B6E01" w:rsidRDefault="00A93D53">
            <w:r>
              <w:rPr>
                <w:sz w:val="20"/>
              </w:rPr>
              <w:t xml:space="preserve">If copyright subsistence presumed in recorded performance, moral right is presumed to subsist. </w:t>
            </w:r>
          </w:p>
        </w:tc>
      </w:tr>
      <w:tr w:rsidR="008B6E01" w14:paraId="3ED2570B" w14:textId="77777777">
        <w:tc>
          <w:tcPr>
            <w:tcW w:w="1242" w:type="dxa"/>
            <w:tcMar>
              <w:top w:w="108" w:type="dxa"/>
              <w:bottom w:w="108" w:type="dxa"/>
            </w:tcMar>
          </w:tcPr>
          <w:p w14:paraId="7A1414B6" w14:textId="77777777" w:rsidR="008B6E01" w:rsidRDefault="00A93D53">
            <w:r>
              <w:rPr>
                <w:sz w:val="20"/>
              </w:rPr>
              <w:t>195AZGF</w:t>
            </w:r>
          </w:p>
        </w:tc>
        <w:tc>
          <w:tcPr>
            <w:tcW w:w="2127" w:type="dxa"/>
            <w:tcMar>
              <w:top w:w="108" w:type="dxa"/>
              <w:bottom w:w="108" w:type="dxa"/>
            </w:tcMar>
          </w:tcPr>
          <w:p w14:paraId="6F6B8393" w14:textId="77777777" w:rsidR="008B6E01" w:rsidRDefault="00A93D53">
            <w:r>
              <w:rPr>
                <w:sz w:val="20"/>
              </w:rPr>
              <w:t>Civil – moral rights</w:t>
            </w:r>
          </w:p>
        </w:tc>
        <w:tc>
          <w:tcPr>
            <w:tcW w:w="5670" w:type="dxa"/>
            <w:tcMar>
              <w:top w:w="108" w:type="dxa"/>
              <w:bottom w:w="108" w:type="dxa"/>
            </w:tcMar>
          </w:tcPr>
          <w:p w14:paraId="0AA3892E" w14:textId="77777777" w:rsidR="008B6E01" w:rsidRDefault="00A93D53">
            <w:r>
              <w:rPr>
                <w:sz w:val="20"/>
              </w:rPr>
              <w:t>Name purporting to be name of performer on record of live performance is presumed to be performer unless contrary is established. Same goes for groups of performers.</w:t>
            </w:r>
          </w:p>
        </w:tc>
      </w:tr>
    </w:tbl>
    <w:p w14:paraId="1C0E3C88" w14:textId="75C45908" w:rsidR="008B6E01" w:rsidRDefault="008142AC">
      <w:r>
        <w:rPr>
          <w:rFonts w:ascii="Calibri" w:eastAsia="Calibri" w:hAnsi="Calibri" w:cs="Calibri"/>
          <w:sz w:val="22"/>
          <w:highlight w:val="white"/>
        </w:rPr>
        <w:t>P</w:t>
      </w:r>
      <w:r w:rsidR="00A93D53">
        <w:rPr>
          <w:rFonts w:ascii="Calibri" w:eastAsia="Calibri" w:hAnsi="Calibri" w:cs="Calibri"/>
          <w:sz w:val="22"/>
          <w:highlight w:val="white"/>
        </w:rPr>
        <w:t>resumptions</w:t>
      </w:r>
      <w:r>
        <w:rPr>
          <w:rFonts w:ascii="Calibri" w:eastAsia="Calibri" w:hAnsi="Calibri" w:cs="Calibri"/>
          <w:sz w:val="22"/>
          <w:highlight w:val="white"/>
        </w:rPr>
        <w:t xml:space="preserve"> in the context of criminal cases</w:t>
      </w:r>
      <w:r w:rsidR="00A93D53">
        <w:rPr>
          <w:rFonts w:ascii="Calibri" w:eastAsia="Calibri" w:hAnsi="Calibri" w:cs="Calibri"/>
          <w:sz w:val="22"/>
          <w:highlight w:val="white"/>
        </w:rPr>
        <w:t xml:space="preserve"> circumvent a key safeguard in our justice system: that the onus is on the prosecutor or plaintiff to prove the liability of the accused or defendant to the relevant standard of proof.  This principle is a key protection against unjustified incursions on personal liberty. It is troubling that the reason given for the introduction of some of the presumptions was “to assist copyright owners in the litigation process”.</w:t>
      </w:r>
      <w:r w:rsidR="00A93D53">
        <w:rPr>
          <w:rFonts w:ascii="Calibri" w:eastAsia="Calibri" w:hAnsi="Calibri" w:cs="Calibri"/>
          <w:sz w:val="22"/>
          <w:highlight w:val="white"/>
          <w:vertAlign w:val="superscript"/>
        </w:rPr>
        <w:footnoteReference w:id="13"/>
      </w:r>
      <w:r w:rsidR="00A93D53">
        <w:rPr>
          <w:rFonts w:ascii="Calibri" w:eastAsia="Calibri" w:hAnsi="Calibri" w:cs="Calibri"/>
          <w:sz w:val="22"/>
          <w:highlight w:val="white"/>
        </w:rPr>
        <w:t xml:space="preserve">  Provisions which make</w:t>
      </w:r>
      <w:r>
        <w:rPr>
          <w:rFonts w:ascii="Calibri" w:eastAsia="Calibri" w:hAnsi="Calibri" w:cs="Calibri"/>
          <w:sz w:val="22"/>
          <w:highlight w:val="white"/>
        </w:rPr>
        <w:t xml:space="preserve"> criminal</w:t>
      </w:r>
      <w:r w:rsidR="00A93D53">
        <w:rPr>
          <w:rFonts w:ascii="Calibri" w:eastAsia="Calibri" w:hAnsi="Calibri" w:cs="Calibri"/>
          <w:sz w:val="22"/>
          <w:highlight w:val="white"/>
        </w:rPr>
        <w:t xml:space="preserve"> liability for copyright infringement easier to prove act as deterrents to the use of copyright material, conceivably leading to self-censorship of what may very well be a legal use of material in  given case. The result is a net loss of creative expression.</w:t>
      </w:r>
    </w:p>
    <w:tbl>
      <w:tblPr>
        <w:tblStyle w:val="TableGrid"/>
        <w:tblW w:w="0" w:type="auto"/>
        <w:tblLook w:val="04A0" w:firstRow="1" w:lastRow="0" w:firstColumn="1" w:lastColumn="0" w:noHBand="0" w:noVBand="1"/>
      </w:tblPr>
      <w:tblGrid>
        <w:gridCol w:w="9350"/>
      </w:tblGrid>
      <w:tr w:rsidR="003732C1" w14:paraId="7B97D65D" w14:textId="77777777" w:rsidTr="002B3F1C">
        <w:tc>
          <w:tcPr>
            <w:tcW w:w="9576" w:type="dxa"/>
            <w:shd w:val="clear" w:color="auto" w:fill="BDD6EE" w:themeFill="accent1" w:themeFillTint="66"/>
          </w:tcPr>
          <w:p w14:paraId="192486E6" w14:textId="7660E5B4" w:rsidR="003732C1" w:rsidRPr="003732C1" w:rsidRDefault="003732C1" w:rsidP="003732C1">
            <w:pPr>
              <w:contextualSpacing/>
              <w:rPr>
                <w:b/>
                <w:color w:val="3D3A37"/>
                <w:sz w:val="21"/>
                <w:szCs w:val="21"/>
              </w:rPr>
            </w:pPr>
            <w:r w:rsidRPr="003732C1">
              <w:rPr>
                <w:b/>
                <w:bCs/>
                <w:color w:val="3D3A37"/>
                <w:sz w:val="21"/>
                <w:szCs w:val="21"/>
              </w:rPr>
              <w:t>Question 9–2             </w:t>
            </w:r>
            <w:r w:rsidRPr="003732C1">
              <w:rPr>
                <w:rStyle w:val="apple-converted-space"/>
                <w:b/>
                <w:bCs/>
                <w:color w:val="3D3A37"/>
                <w:sz w:val="21"/>
                <w:szCs w:val="21"/>
              </w:rPr>
              <w:t> </w:t>
            </w:r>
            <w:r w:rsidRPr="003732C1">
              <w:rPr>
                <w:b/>
                <w:color w:val="3D3A37"/>
                <w:sz w:val="21"/>
                <w:szCs w:val="21"/>
              </w:rPr>
              <w:t>Which Commonwealth laws unjustifiably reverse or shift the burden of proof, and why are these laws unjustified?</w:t>
            </w:r>
          </w:p>
          <w:p w14:paraId="68B65B48" w14:textId="77777777" w:rsidR="003732C1" w:rsidRDefault="003732C1" w:rsidP="003732C1">
            <w:pPr>
              <w:contextualSpacing/>
              <w:rPr>
                <w:color w:val="3D3A37"/>
                <w:sz w:val="21"/>
                <w:szCs w:val="21"/>
              </w:rPr>
            </w:pPr>
          </w:p>
          <w:p w14:paraId="36D8B94A" w14:textId="5321F293" w:rsidR="003732C1" w:rsidRDefault="003732C1" w:rsidP="003732C1">
            <w:pPr>
              <w:contextualSpacing/>
              <w:rPr>
                <w:color w:val="3D3A37"/>
                <w:sz w:val="21"/>
                <w:szCs w:val="21"/>
              </w:rPr>
            </w:pPr>
            <w:r>
              <w:rPr>
                <w:color w:val="3D3A37"/>
                <w:sz w:val="21"/>
                <w:szCs w:val="21"/>
              </w:rPr>
              <w:lastRenderedPageBreak/>
              <w:t xml:space="preserve">As detailed above there are numerous </w:t>
            </w:r>
            <w:r w:rsidR="002B3F1C">
              <w:rPr>
                <w:color w:val="3D3A37"/>
                <w:sz w:val="21"/>
                <w:szCs w:val="21"/>
              </w:rPr>
              <w:t xml:space="preserve">shifts in the burden proof that may result in unjustified incursions on personal liberty and suppress free speech. We propose: </w:t>
            </w:r>
          </w:p>
          <w:p w14:paraId="11DD6B0F" w14:textId="77777777" w:rsidR="002B3F1C" w:rsidRPr="003732C1" w:rsidRDefault="002B3F1C" w:rsidP="003732C1">
            <w:pPr>
              <w:contextualSpacing/>
              <w:rPr>
                <w:b/>
                <w:sz w:val="22"/>
              </w:rPr>
            </w:pPr>
          </w:p>
          <w:p w14:paraId="7B04A0C0" w14:textId="4C3E13A4" w:rsidR="003732C1" w:rsidRPr="002B3F1C" w:rsidRDefault="003732C1" w:rsidP="002B3F1C">
            <w:pPr>
              <w:numPr>
                <w:ilvl w:val="0"/>
                <w:numId w:val="1"/>
              </w:numPr>
              <w:ind w:hanging="359"/>
              <w:contextualSpacing/>
              <w:rPr>
                <w:b/>
                <w:sz w:val="22"/>
              </w:rPr>
            </w:pPr>
            <w:r>
              <w:rPr>
                <w:rFonts w:ascii="Calibri" w:eastAsia="Calibri" w:hAnsi="Calibri" w:cs="Calibri"/>
                <w:b/>
                <w:sz w:val="22"/>
              </w:rPr>
              <w:t>Reconsideration of the shift of burden of proof in offences</w:t>
            </w:r>
          </w:p>
        </w:tc>
      </w:tr>
    </w:tbl>
    <w:p w14:paraId="6D768FDA" w14:textId="77777777" w:rsidR="003732C1" w:rsidRDefault="003732C1">
      <w:pPr>
        <w:rPr>
          <w:rFonts w:ascii="Calibri" w:eastAsia="Calibri" w:hAnsi="Calibri" w:cs="Calibri"/>
          <w:b/>
          <w:sz w:val="28"/>
          <w:highlight w:val="white"/>
        </w:rPr>
      </w:pPr>
    </w:p>
    <w:p w14:paraId="6934DCE9" w14:textId="77777777" w:rsidR="008B6E01" w:rsidRDefault="00A93D53">
      <w:r>
        <w:rPr>
          <w:rFonts w:ascii="Calibri" w:eastAsia="Calibri" w:hAnsi="Calibri" w:cs="Calibri"/>
          <w:b/>
          <w:sz w:val="28"/>
          <w:highlight w:val="white"/>
        </w:rPr>
        <w:t xml:space="preserve">Strict Liability </w:t>
      </w:r>
    </w:p>
    <w:p w14:paraId="2C0BB6A1" w14:textId="77777777" w:rsidR="008B6E01" w:rsidRDefault="00A93D53">
      <w:r>
        <w:rPr>
          <w:rFonts w:ascii="Calibri" w:eastAsia="Calibri" w:hAnsi="Calibri" w:cs="Calibri"/>
          <w:sz w:val="22"/>
          <w:highlight w:val="white"/>
        </w:rPr>
        <w:t>There are a number of strict liability offences in the Act, with a significant increase in offences following the 2006 reforms when a number of commercial-scale infringement offences were added.</w:t>
      </w:r>
      <w:r>
        <w:rPr>
          <w:rFonts w:ascii="Calibri" w:eastAsia="Calibri" w:hAnsi="Calibri" w:cs="Calibri"/>
          <w:sz w:val="22"/>
          <w:highlight w:val="white"/>
          <w:vertAlign w:val="superscript"/>
        </w:rPr>
        <w:footnoteReference w:id="14"/>
      </w:r>
      <w:r>
        <w:rPr>
          <w:rFonts w:ascii="Calibri" w:eastAsia="Calibri" w:hAnsi="Calibri" w:cs="Calibri"/>
          <w:sz w:val="22"/>
          <w:highlight w:val="white"/>
        </w:rPr>
        <w:t xml:space="preserve"> </w:t>
      </w:r>
    </w:p>
    <w:p w14:paraId="586A0C1D" w14:textId="77777777" w:rsidR="008B6E01" w:rsidRDefault="00A93D53">
      <w:r>
        <w:rPr>
          <w:rFonts w:ascii="Calibri" w:eastAsia="Calibri" w:hAnsi="Calibri" w:cs="Calibri"/>
          <w:sz w:val="22"/>
          <w:highlight w:val="white"/>
        </w:rPr>
        <w:t xml:space="preserve">To date there has been no evidence that these provisions have led to a reduction in commercial scale copyright infringement. Considering that for each offence there are also indictable and summary offence provisions, there seems limited deterrence value in leaving these offences in the Act. </w:t>
      </w:r>
    </w:p>
    <w:p w14:paraId="775F9544" w14:textId="77777777" w:rsidR="008B6E01" w:rsidRDefault="00A93D53">
      <w:r>
        <w:rPr>
          <w:rFonts w:ascii="Calibri" w:eastAsia="Calibri" w:hAnsi="Calibri" w:cs="Calibri"/>
          <w:sz w:val="22"/>
          <w:highlight w:val="white"/>
        </w:rPr>
        <w:t xml:space="preserve">Additionally, by removing the </w:t>
      </w:r>
      <w:proofErr w:type="spellStart"/>
      <w:r>
        <w:rPr>
          <w:rFonts w:ascii="Calibri" w:eastAsia="Calibri" w:hAnsi="Calibri" w:cs="Calibri"/>
          <w:i/>
          <w:sz w:val="22"/>
          <w:highlight w:val="white"/>
        </w:rPr>
        <w:t>mens</w:t>
      </w:r>
      <w:proofErr w:type="spellEnd"/>
      <w:r>
        <w:rPr>
          <w:rFonts w:ascii="Calibri" w:eastAsia="Calibri" w:hAnsi="Calibri" w:cs="Calibri"/>
          <w:i/>
          <w:sz w:val="22"/>
          <w:highlight w:val="white"/>
        </w:rPr>
        <w:t xml:space="preserve"> rea </w:t>
      </w:r>
      <w:r>
        <w:rPr>
          <w:rFonts w:ascii="Calibri" w:eastAsia="Calibri" w:hAnsi="Calibri" w:cs="Calibri"/>
          <w:sz w:val="22"/>
          <w:highlight w:val="white"/>
        </w:rPr>
        <w:t xml:space="preserve">element from the offences, strict liability provisions could easily see people innocently committing an offence. A good example is </w:t>
      </w:r>
      <w:proofErr w:type="gramStart"/>
      <w:r>
        <w:rPr>
          <w:rFonts w:ascii="Calibri" w:eastAsia="Calibri" w:hAnsi="Calibri" w:cs="Calibri"/>
          <w:sz w:val="22"/>
          <w:highlight w:val="white"/>
        </w:rPr>
        <w:t>s132AO(</w:t>
      </w:r>
      <w:proofErr w:type="gramEnd"/>
      <w:r>
        <w:rPr>
          <w:rFonts w:ascii="Calibri" w:eastAsia="Calibri" w:hAnsi="Calibri" w:cs="Calibri"/>
          <w:sz w:val="22"/>
          <w:highlight w:val="white"/>
        </w:rPr>
        <w:t xml:space="preserve">5) which provides: </w:t>
      </w:r>
    </w:p>
    <w:p w14:paraId="28EE3EA7" w14:textId="77777777" w:rsidR="008B6E01" w:rsidRDefault="00A93D53">
      <w:pPr>
        <w:spacing w:before="100" w:after="100"/>
      </w:pPr>
      <w:r>
        <w:rPr>
          <w:rFonts w:ascii="Calibri" w:eastAsia="Calibri" w:hAnsi="Calibri" w:cs="Calibri"/>
          <w:sz w:val="22"/>
        </w:rPr>
        <w:t> (5)  A person commits an offence if:</w:t>
      </w:r>
    </w:p>
    <w:p w14:paraId="56E64457" w14:textId="77777777" w:rsidR="008B6E01" w:rsidRPr="0051286B" w:rsidRDefault="00A93D53">
      <w:pPr>
        <w:spacing w:before="100" w:after="100"/>
        <w:rPr>
          <w:color w:val="auto"/>
        </w:rPr>
      </w:pPr>
      <w:r>
        <w:rPr>
          <w:rFonts w:ascii="Calibri" w:eastAsia="Calibri" w:hAnsi="Calibri" w:cs="Calibri"/>
          <w:sz w:val="22"/>
        </w:rPr>
        <w:t xml:space="preserve">                     (a)  </w:t>
      </w:r>
      <w:proofErr w:type="gramStart"/>
      <w:r>
        <w:rPr>
          <w:rFonts w:ascii="Calibri" w:eastAsia="Calibri" w:hAnsi="Calibri" w:cs="Calibri"/>
          <w:sz w:val="22"/>
        </w:rPr>
        <w:t>the</w:t>
      </w:r>
      <w:proofErr w:type="gramEnd"/>
      <w:r>
        <w:rPr>
          <w:rFonts w:ascii="Calibri" w:eastAsia="Calibri" w:hAnsi="Calibri" w:cs="Calibri"/>
          <w:sz w:val="22"/>
        </w:rPr>
        <w:t xml:space="preserve"> person </w:t>
      </w:r>
      <w:r w:rsidRPr="0051286B">
        <w:rPr>
          <w:rFonts w:ascii="Calibri" w:eastAsia="Calibri" w:hAnsi="Calibri" w:cs="Calibri"/>
          <w:color w:val="auto"/>
          <w:sz w:val="22"/>
        </w:rPr>
        <w:t>causes:</w:t>
      </w:r>
    </w:p>
    <w:p w14:paraId="5AD895DF" w14:textId="774AFAEC" w:rsidR="008B6E01" w:rsidRPr="0051286B" w:rsidRDefault="00A93D53">
      <w:pPr>
        <w:spacing w:before="100" w:after="100"/>
        <w:rPr>
          <w:color w:val="auto"/>
        </w:rPr>
      </w:pPr>
      <w:r w:rsidRPr="0051286B">
        <w:rPr>
          <w:rFonts w:ascii="Calibri" w:eastAsia="Calibri" w:hAnsi="Calibri" w:cs="Calibri"/>
          <w:color w:val="auto"/>
          <w:sz w:val="22"/>
        </w:rPr>
        <w:t xml:space="preserve">                             (ii)  </w:t>
      </w:r>
      <w:proofErr w:type="gramStart"/>
      <w:r w:rsidRPr="0051286B">
        <w:rPr>
          <w:rFonts w:ascii="Calibri" w:eastAsia="Calibri" w:hAnsi="Calibri" w:cs="Calibri"/>
          <w:color w:val="auto"/>
          <w:sz w:val="22"/>
        </w:rPr>
        <w:t>images</w:t>
      </w:r>
      <w:proofErr w:type="gramEnd"/>
      <w:r w:rsidRPr="0051286B">
        <w:rPr>
          <w:rFonts w:ascii="Calibri" w:eastAsia="Calibri" w:hAnsi="Calibri" w:cs="Calibri"/>
          <w:color w:val="auto"/>
          <w:sz w:val="22"/>
        </w:rPr>
        <w:t xml:space="preserve"> from a cinematograph film to be seen; or</w:t>
      </w:r>
    </w:p>
    <w:p w14:paraId="41FA64CD" w14:textId="319C978F" w:rsidR="008B6E01" w:rsidRPr="0051286B" w:rsidRDefault="00A93D53">
      <w:pPr>
        <w:spacing w:before="100" w:after="100"/>
        <w:rPr>
          <w:color w:val="auto"/>
        </w:rPr>
      </w:pPr>
      <w:r w:rsidRPr="0051286B">
        <w:rPr>
          <w:rFonts w:ascii="Calibri" w:eastAsia="Calibri" w:hAnsi="Calibri" w:cs="Calibri"/>
          <w:color w:val="auto"/>
          <w:sz w:val="22"/>
        </w:rPr>
        <w:t xml:space="preserve">                            (iii)  </w:t>
      </w:r>
      <w:proofErr w:type="gramStart"/>
      <w:r w:rsidRPr="0051286B">
        <w:rPr>
          <w:rFonts w:ascii="Calibri" w:eastAsia="Calibri" w:hAnsi="Calibri" w:cs="Calibri"/>
          <w:color w:val="auto"/>
          <w:sz w:val="22"/>
        </w:rPr>
        <w:t>sound</w:t>
      </w:r>
      <w:proofErr w:type="gramEnd"/>
      <w:r w:rsidRPr="0051286B">
        <w:rPr>
          <w:rFonts w:ascii="Calibri" w:eastAsia="Calibri" w:hAnsi="Calibri" w:cs="Calibri"/>
          <w:color w:val="auto"/>
          <w:sz w:val="22"/>
        </w:rPr>
        <w:t xml:space="preserve"> from a cinematograph film to be heard; and</w:t>
      </w:r>
    </w:p>
    <w:p w14:paraId="3DF9EFAE" w14:textId="412CC3E1" w:rsidR="008B6E01" w:rsidRPr="0051286B" w:rsidRDefault="00A93D53">
      <w:pPr>
        <w:spacing w:before="100" w:after="100"/>
        <w:rPr>
          <w:color w:val="auto"/>
        </w:rPr>
      </w:pPr>
      <w:r w:rsidRPr="0051286B">
        <w:rPr>
          <w:rFonts w:ascii="Calibri" w:eastAsia="Calibri" w:hAnsi="Calibri" w:cs="Calibri"/>
          <w:color w:val="auto"/>
          <w:sz w:val="22"/>
        </w:rPr>
        <w:t xml:space="preserve">                     (b)  </w:t>
      </w:r>
      <w:proofErr w:type="gramStart"/>
      <w:r w:rsidRPr="0051286B">
        <w:rPr>
          <w:rFonts w:ascii="Calibri" w:eastAsia="Calibri" w:hAnsi="Calibri" w:cs="Calibri"/>
          <w:color w:val="auto"/>
          <w:sz w:val="22"/>
        </w:rPr>
        <w:t>the</w:t>
      </w:r>
      <w:proofErr w:type="gramEnd"/>
      <w:r w:rsidRPr="0051286B">
        <w:rPr>
          <w:rFonts w:ascii="Calibri" w:eastAsia="Calibri" w:hAnsi="Calibri" w:cs="Calibri"/>
          <w:color w:val="auto"/>
          <w:sz w:val="22"/>
        </w:rPr>
        <w:t xml:space="preserve"> hearing or seeing occurs in public at a place of public entertainment; and</w:t>
      </w:r>
    </w:p>
    <w:p w14:paraId="386CAC92" w14:textId="1F1DABA7" w:rsidR="008B6E01" w:rsidRPr="0051286B" w:rsidRDefault="00A93D53">
      <w:pPr>
        <w:spacing w:before="100" w:after="100"/>
        <w:rPr>
          <w:color w:val="auto"/>
        </w:rPr>
      </w:pPr>
      <w:r w:rsidRPr="0051286B">
        <w:rPr>
          <w:rFonts w:ascii="Calibri" w:eastAsia="Calibri" w:hAnsi="Calibri" w:cs="Calibri"/>
          <w:color w:val="auto"/>
          <w:sz w:val="22"/>
        </w:rPr>
        <w:t xml:space="preserve">                     (c)  </w:t>
      </w:r>
      <w:proofErr w:type="gramStart"/>
      <w:r w:rsidRPr="0051286B">
        <w:rPr>
          <w:rFonts w:ascii="Calibri" w:eastAsia="Calibri" w:hAnsi="Calibri" w:cs="Calibri"/>
          <w:color w:val="auto"/>
          <w:sz w:val="22"/>
        </w:rPr>
        <w:t>causing</w:t>
      </w:r>
      <w:proofErr w:type="gramEnd"/>
      <w:r w:rsidRPr="0051286B">
        <w:rPr>
          <w:rFonts w:ascii="Calibri" w:eastAsia="Calibri" w:hAnsi="Calibri" w:cs="Calibri"/>
          <w:color w:val="auto"/>
          <w:sz w:val="22"/>
        </w:rPr>
        <w:t xml:space="preserve"> the hearing or seeing infringes copyright in the recording or film.</w:t>
      </w:r>
    </w:p>
    <w:p w14:paraId="3C252605" w14:textId="7D7CC142" w:rsidR="008B6E01" w:rsidRDefault="00A93D53">
      <w:r>
        <w:rPr>
          <w:rFonts w:ascii="Calibri" w:eastAsia="Calibri" w:hAnsi="Calibri" w:cs="Calibri"/>
          <w:sz w:val="22"/>
          <w:highlight w:val="white"/>
        </w:rPr>
        <w:t xml:space="preserve">The absence of any </w:t>
      </w:r>
      <w:proofErr w:type="spellStart"/>
      <w:r>
        <w:rPr>
          <w:rFonts w:ascii="Calibri" w:eastAsia="Calibri" w:hAnsi="Calibri" w:cs="Calibri"/>
          <w:i/>
          <w:sz w:val="22"/>
          <w:highlight w:val="white"/>
        </w:rPr>
        <w:t>mens</w:t>
      </w:r>
      <w:proofErr w:type="spellEnd"/>
      <w:r>
        <w:rPr>
          <w:rFonts w:ascii="Calibri" w:eastAsia="Calibri" w:hAnsi="Calibri" w:cs="Calibri"/>
          <w:i/>
          <w:sz w:val="22"/>
          <w:highlight w:val="white"/>
        </w:rPr>
        <w:t xml:space="preserve"> rea </w:t>
      </w:r>
      <w:r>
        <w:rPr>
          <w:rFonts w:ascii="Calibri" w:eastAsia="Calibri" w:hAnsi="Calibri" w:cs="Calibri"/>
          <w:sz w:val="22"/>
          <w:highlight w:val="white"/>
        </w:rPr>
        <w:t xml:space="preserve">or necessity to have caused financial harm means that any person who plays a short burst of footage from their phone or laptop in a public place faces potential criminal liability. That is inappropriate given the widespread </w:t>
      </w:r>
      <w:r w:rsidR="002B3F1C">
        <w:rPr>
          <w:rFonts w:ascii="Calibri" w:eastAsia="Calibri" w:hAnsi="Calibri" w:cs="Calibri"/>
          <w:sz w:val="22"/>
          <w:highlight w:val="white"/>
        </w:rPr>
        <w:t>occurrence</w:t>
      </w:r>
      <w:r>
        <w:rPr>
          <w:rFonts w:ascii="Calibri" w:eastAsia="Calibri" w:hAnsi="Calibri" w:cs="Calibri"/>
          <w:sz w:val="22"/>
          <w:highlight w:val="white"/>
        </w:rPr>
        <w:t xml:space="preserve"> and community acceptance of such activities. </w:t>
      </w:r>
    </w:p>
    <w:p w14:paraId="78306481" w14:textId="784877E8" w:rsidR="008B6E01" w:rsidRDefault="00A93D53">
      <w:pPr>
        <w:rPr>
          <w:rFonts w:ascii="Calibri" w:eastAsia="Calibri" w:hAnsi="Calibri" w:cs="Calibri"/>
          <w:sz w:val="22"/>
        </w:rPr>
      </w:pPr>
      <w:r>
        <w:rPr>
          <w:rFonts w:ascii="Calibri" w:eastAsia="Calibri" w:hAnsi="Calibri" w:cs="Calibri"/>
          <w:sz w:val="22"/>
          <w:highlight w:val="white"/>
        </w:rPr>
        <w:t xml:space="preserve">For strict liability offences in Divisions 5 there is an infringement notice scheme, set out in Part 6A of the Regulations.  This scheme allows fines of over $2000 for individuals and over $10000 for bodies corporate to be issued on the spot. In a complex area of law, with complex questions of fact, this is an inappropriate fashion to enforce the strict liability provisions. This scheme is a further instance of shifting the onus of proof for the convenience of rights holders, as the liability for the offence is not judicially determined unless the recipient of the fine contests the matter in a Magistrates Court. The powers also appear never to have been used. As such, we recommend their removal, both for unjustifiably encroaching on traditional rights and freedoms, and also as </w:t>
      </w:r>
      <w:r w:rsidR="002B3F1C">
        <w:rPr>
          <w:rFonts w:ascii="Calibri" w:eastAsia="Calibri" w:hAnsi="Calibri" w:cs="Calibri"/>
          <w:sz w:val="22"/>
          <w:highlight w:val="white"/>
        </w:rPr>
        <w:t>a measure of red tape reduction</w:t>
      </w:r>
      <w:r>
        <w:rPr>
          <w:rFonts w:ascii="Calibri" w:eastAsia="Calibri" w:hAnsi="Calibri" w:cs="Calibri"/>
          <w:sz w:val="22"/>
          <w:highlight w:val="white"/>
        </w:rPr>
        <w:t>.</w:t>
      </w:r>
    </w:p>
    <w:p w14:paraId="0F5400BB" w14:textId="005EEA2D" w:rsidR="008142AC" w:rsidRDefault="008142AC">
      <w:pPr>
        <w:rPr>
          <w:rFonts w:ascii="Calibri" w:eastAsia="Calibri" w:hAnsi="Calibri" w:cs="Calibri"/>
          <w:sz w:val="22"/>
        </w:rPr>
      </w:pPr>
      <w:r>
        <w:rPr>
          <w:rFonts w:ascii="Calibri" w:eastAsia="Calibri" w:hAnsi="Calibri" w:cs="Calibri"/>
          <w:sz w:val="22"/>
        </w:rPr>
        <w:t xml:space="preserve">Another concern around the strict liability offences, especially if ever coupled with actual application of an infringement notice scheme, is that they give extremely broad discretion to prosecutors and police with no Parliamentary oversight. As Weatherall has noted, </w:t>
      </w:r>
    </w:p>
    <w:p w14:paraId="7ABC9361" w14:textId="77777777" w:rsidR="008142AC" w:rsidRPr="008142AC" w:rsidRDefault="008142AC" w:rsidP="008142AC">
      <w:pPr>
        <w:ind w:left="680"/>
        <w:rPr>
          <w:rFonts w:asciiTheme="minorHAnsi" w:hAnsiTheme="minorHAnsi"/>
          <w:sz w:val="20"/>
        </w:rPr>
      </w:pPr>
      <w:r w:rsidRPr="008142AC">
        <w:rPr>
          <w:rFonts w:asciiTheme="minorHAnsi" w:hAnsiTheme="minorHAnsi"/>
          <w:sz w:val="20"/>
        </w:rPr>
        <w:lastRenderedPageBreak/>
        <w:t xml:space="preserve">The key to understanding the regulatory potential of [the strict liability] provisions lies in appreciating their breadth. Historically, there is no quantitative threshold for criminal liability for copyright infringement: almost all offences under the </w:t>
      </w:r>
      <w:r w:rsidRPr="008142AC">
        <w:rPr>
          <w:rFonts w:asciiTheme="minorHAnsi" w:hAnsiTheme="minorHAnsi"/>
          <w:i/>
          <w:sz w:val="20"/>
        </w:rPr>
        <w:t xml:space="preserve">Copyright Act 1968 </w:t>
      </w:r>
      <w:r w:rsidRPr="008142AC">
        <w:rPr>
          <w:rFonts w:asciiTheme="minorHAnsi" w:hAnsiTheme="minorHAnsi"/>
          <w:sz w:val="20"/>
        </w:rPr>
        <w:t>(</w:t>
      </w:r>
      <w:proofErr w:type="spellStart"/>
      <w:r w:rsidRPr="008142AC">
        <w:rPr>
          <w:rFonts w:asciiTheme="minorHAnsi" w:hAnsiTheme="minorHAnsi"/>
          <w:sz w:val="20"/>
        </w:rPr>
        <w:t>Cth</w:t>
      </w:r>
      <w:proofErr w:type="spellEnd"/>
      <w:r w:rsidRPr="008142AC">
        <w:rPr>
          <w:rFonts w:asciiTheme="minorHAnsi" w:hAnsiTheme="minorHAnsi"/>
          <w:sz w:val="20"/>
        </w:rPr>
        <w:t>) apply to the making of, or dealing with, a single</w:t>
      </w:r>
      <w:r w:rsidRPr="008142AC">
        <w:rPr>
          <w:rFonts w:asciiTheme="minorHAnsi" w:hAnsiTheme="minorHAnsi"/>
          <w:i/>
          <w:sz w:val="20"/>
        </w:rPr>
        <w:t xml:space="preserve"> </w:t>
      </w:r>
      <w:r w:rsidRPr="008142AC">
        <w:rPr>
          <w:rFonts w:asciiTheme="minorHAnsi" w:hAnsiTheme="minorHAnsi"/>
          <w:sz w:val="20"/>
        </w:rPr>
        <w:t xml:space="preserve">infringing article, provided it is made for the purposes of trade or commercial advantage. As a result, behaviour extending all the way from the obviously ‘pirate’ through to quite commonplace commercial acts falls within the scope of the criminal offences. For example, s 132AD of the </w:t>
      </w:r>
      <w:r w:rsidRPr="008142AC">
        <w:rPr>
          <w:rFonts w:asciiTheme="minorHAnsi" w:hAnsiTheme="minorHAnsi"/>
          <w:i/>
          <w:sz w:val="20"/>
        </w:rPr>
        <w:t xml:space="preserve">Copyright Act 1968 </w:t>
      </w:r>
      <w:r w:rsidRPr="008142AC">
        <w:rPr>
          <w:rFonts w:asciiTheme="minorHAnsi" w:hAnsiTheme="minorHAnsi"/>
          <w:sz w:val="20"/>
        </w:rPr>
        <w:t>(</w:t>
      </w:r>
      <w:proofErr w:type="spellStart"/>
      <w:r w:rsidRPr="008142AC">
        <w:rPr>
          <w:rFonts w:asciiTheme="minorHAnsi" w:hAnsiTheme="minorHAnsi"/>
          <w:sz w:val="20"/>
        </w:rPr>
        <w:t>Cth</w:t>
      </w:r>
      <w:proofErr w:type="spellEnd"/>
      <w:r w:rsidRPr="008142AC">
        <w:rPr>
          <w:rFonts w:asciiTheme="minorHAnsi" w:hAnsiTheme="minorHAnsi"/>
          <w:sz w:val="20"/>
        </w:rPr>
        <w:t>) creates three offences (one for each tier of knowledge) where a defendant:</w:t>
      </w:r>
    </w:p>
    <w:p w14:paraId="2F6EDB2A" w14:textId="77777777" w:rsidR="008142AC" w:rsidRPr="008142AC" w:rsidRDefault="008142AC" w:rsidP="008142AC">
      <w:pPr>
        <w:pStyle w:val="NormalBullet"/>
        <w:numPr>
          <w:ilvl w:val="0"/>
          <w:numId w:val="3"/>
        </w:numPr>
        <w:ind w:left="1139" w:hanging="289"/>
        <w:rPr>
          <w:rFonts w:asciiTheme="minorHAnsi" w:hAnsiTheme="minorHAnsi" w:cs="Arial"/>
        </w:rPr>
      </w:pPr>
      <w:r w:rsidRPr="008142AC">
        <w:rPr>
          <w:rFonts w:asciiTheme="minorHAnsi" w:hAnsiTheme="minorHAnsi" w:cs="Arial"/>
        </w:rPr>
        <w:t>makes an article (which includes an electronic copy);</w:t>
      </w:r>
      <w:r w:rsidRPr="008142AC">
        <w:rPr>
          <w:rStyle w:val="FootnoteReference"/>
          <w:rFonts w:asciiTheme="minorHAnsi" w:hAnsiTheme="minorHAnsi" w:cs="Arial"/>
        </w:rPr>
        <w:footnoteReference w:id="15"/>
      </w:r>
    </w:p>
    <w:p w14:paraId="4ADA9587" w14:textId="77777777" w:rsidR="008142AC" w:rsidRPr="008142AC" w:rsidRDefault="008142AC" w:rsidP="008142AC">
      <w:pPr>
        <w:pStyle w:val="NormalBullet"/>
        <w:numPr>
          <w:ilvl w:val="0"/>
          <w:numId w:val="4"/>
        </w:numPr>
        <w:ind w:left="1139" w:hanging="289"/>
        <w:rPr>
          <w:rFonts w:asciiTheme="minorHAnsi" w:hAnsiTheme="minorHAnsi" w:cs="Arial"/>
        </w:rPr>
      </w:pPr>
      <w:r w:rsidRPr="008142AC">
        <w:rPr>
          <w:rFonts w:asciiTheme="minorHAnsi" w:hAnsiTheme="minorHAnsi" w:cs="Arial"/>
        </w:rPr>
        <w:t xml:space="preserve">to sell it or obtain ‘a commercial advantage or profit’; </w:t>
      </w:r>
    </w:p>
    <w:p w14:paraId="3EA72985" w14:textId="77777777" w:rsidR="008142AC" w:rsidRPr="008142AC" w:rsidRDefault="008142AC" w:rsidP="008142AC">
      <w:pPr>
        <w:pStyle w:val="NormalBullet"/>
        <w:numPr>
          <w:ilvl w:val="0"/>
          <w:numId w:val="5"/>
        </w:numPr>
        <w:ind w:left="1139" w:hanging="289"/>
        <w:rPr>
          <w:rFonts w:asciiTheme="minorHAnsi" w:hAnsiTheme="minorHAnsi" w:cs="Arial"/>
        </w:rPr>
      </w:pPr>
      <w:proofErr w:type="gramStart"/>
      <w:r w:rsidRPr="008142AC">
        <w:rPr>
          <w:rFonts w:asciiTheme="minorHAnsi" w:hAnsiTheme="minorHAnsi" w:cs="Arial"/>
        </w:rPr>
        <w:t>where</w:t>
      </w:r>
      <w:proofErr w:type="gramEnd"/>
      <w:r w:rsidRPr="008142AC">
        <w:rPr>
          <w:rFonts w:asciiTheme="minorHAnsi" w:hAnsiTheme="minorHAnsi" w:cs="Arial"/>
        </w:rPr>
        <w:t xml:space="preserve"> the article is an infringing copy of a work or other subject matter in which copyright subsists.</w:t>
      </w:r>
    </w:p>
    <w:p w14:paraId="10AAB7EE" w14:textId="70B165B8" w:rsidR="008142AC" w:rsidRPr="008142AC" w:rsidRDefault="008142AC" w:rsidP="008142AC">
      <w:pPr>
        <w:ind w:left="720"/>
        <w:rPr>
          <w:rFonts w:asciiTheme="minorHAnsi" w:hAnsiTheme="minorHAnsi"/>
          <w:sz w:val="20"/>
        </w:rPr>
      </w:pPr>
      <w:r w:rsidRPr="008142AC">
        <w:rPr>
          <w:rFonts w:asciiTheme="minorHAnsi" w:hAnsiTheme="minorHAnsi"/>
          <w:sz w:val="20"/>
        </w:rPr>
        <w:t>Clearly, this provision applies to the obvious: the person who makes counterfeit copies of Hollywood DVDs en masse</w:t>
      </w:r>
      <w:r w:rsidRPr="008142AC">
        <w:rPr>
          <w:rFonts w:asciiTheme="minorHAnsi" w:hAnsiTheme="minorHAnsi"/>
          <w:i/>
          <w:sz w:val="20"/>
        </w:rPr>
        <w:t xml:space="preserve"> </w:t>
      </w:r>
      <w:r w:rsidRPr="008142AC">
        <w:rPr>
          <w:rFonts w:asciiTheme="minorHAnsi" w:hAnsiTheme="minorHAnsi"/>
          <w:sz w:val="20"/>
        </w:rPr>
        <w:t>and sets out to sell them at the market. But the provision is also sufficiently broad to apply to a business whose employee makes a single unlicensed electronic copy, say of a computer program, for use in the course of business (this being use ‘to obtain a commercial advantage’). It might also apply where, for example, a business was selling a book which unintentionally included too large a proportion of someone else’s copyright material or which inadvertently used a copyright-infringing photograph on the cover.….</w:t>
      </w:r>
    </w:p>
    <w:p w14:paraId="59F094D6" w14:textId="7B31307F" w:rsidR="008142AC" w:rsidRPr="008142AC" w:rsidRDefault="008142AC" w:rsidP="008142AC">
      <w:pPr>
        <w:ind w:left="720"/>
        <w:rPr>
          <w:rFonts w:asciiTheme="minorHAnsi" w:hAnsiTheme="minorHAnsi"/>
          <w:sz w:val="20"/>
        </w:rPr>
      </w:pPr>
      <w:r w:rsidRPr="008142AC">
        <w:rPr>
          <w:rFonts w:asciiTheme="minorHAnsi" w:hAnsiTheme="minorHAnsi"/>
          <w:sz w:val="20"/>
        </w:rPr>
        <w:t xml:space="preserve">The provisions confer considerable discretion on the executive branch, in the form of enforcement agencies and prosecution agencies, without parliamentary oversight. By passing the </w:t>
      </w:r>
      <w:r w:rsidRPr="008142AC">
        <w:rPr>
          <w:rFonts w:asciiTheme="minorHAnsi" w:hAnsiTheme="minorHAnsi"/>
          <w:i/>
          <w:sz w:val="20"/>
        </w:rPr>
        <w:t>Copyright Amendment Act</w:t>
      </w:r>
      <w:r w:rsidRPr="008142AC">
        <w:rPr>
          <w:rFonts w:asciiTheme="minorHAnsi" w:hAnsiTheme="minorHAnsi"/>
          <w:sz w:val="20"/>
        </w:rPr>
        <w:t xml:space="preserve">, Parliament gave the executive branch, including the police, </w:t>
      </w:r>
      <w:r w:rsidRPr="008142AC">
        <w:rPr>
          <w:rFonts w:asciiTheme="minorHAnsi" w:hAnsiTheme="minorHAnsi"/>
          <w:i/>
          <w:sz w:val="20"/>
        </w:rPr>
        <w:t>carte blanche</w:t>
      </w:r>
      <w:r w:rsidRPr="008142AC">
        <w:rPr>
          <w:rFonts w:asciiTheme="minorHAnsi" w:hAnsiTheme="minorHAnsi"/>
          <w:sz w:val="20"/>
        </w:rPr>
        <w:t>, and an incredibly flexible and broad set of tools, to determine all future copyright criminal enforcement matters. Prosecution policy, and the drafting and updating of enforcement guidelines, are matters for the executive branch: both can change without parliamentary oversight.</w:t>
      </w:r>
      <w:r w:rsidRPr="008142AC">
        <w:rPr>
          <w:rStyle w:val="FootnoteReference"/>
          <w:rFonts w:asciiTheme="minorHAnsi" w:hAnsiTheme="minorHAnsi"/>
          <w:sz w:val="20"/>
        </w:rPr>
        <w:footnoteReference w:id="16"/>
      </w:r>
      <w:r w:rsidRPr="008142AC">
        <w:rPr>
          <w:rFonts w:asciiTheme="minorHAnsi" w:hAnsiTheme="minorHAnsi"/>
          <w:sz w:val="20"/>
        </w:rPr>
        <w:t xml:space="preserve"> </w:t>
      </w:r>
    </w:p>
    <w:p w14:paraId="738CAF22" w14:textId="77777777" w:rsidR="008B6E01" w:rsidRDefault="00A93D53">
      <w:pPr>
        <w:rPr>
          <w:rFonts w:ascii="Calibri" w:eastAsia="Calibri" w:hAnsi="Calibri" w:cs="Calibri"/>
          <w:sz w:val="22"/>
        </w:rPr>
      </w:pPr>
      <w:r>
        <w:rPr>
          <w:rFonts w:ascii="Calibri" w:eastAsia="Calibri" w:hAnsi="Calibri" w:cs="Calibri"/>
          <w:sz w:val="22"/>
          <w:highlight w:val="white"/>
        </w:rPr>
        <w:t xml:space="preserve">Finally, the Act contains some outdated recordkeeping and inspection strict liability offences. Of particular concern is </w:t>
      </w:r>
      <w:proofErr w:type="gramStart"/>
      <w:r>
        <w:rPr>
          <w:rFonts w:ascii="Calibri" w:eastAsia="Calibri" w:hAnsi="Calibri" w:cs="Calibri"/>
          <w:sz w:val="22"/>
          <w:highlight w:val="white"/>
        </w:rPr>
        <w:t>s203E(</w:t>
      </w:r>
      <w:proofErr w:type="gramEnd"/>
      <w:r>
        <w:rPr>
          <w:rFonts w:ascii="Calibri" w:eastAsia="Calibri" w:hAnsi="Calibri" w:cs="Calibri"/>
          <w:sz w:val="22"/>
          <w:highlight w:val="white"/>
        </w:rPr>
        <w:t xml:space="preserve">10) which makes it an offence for the person in charge of a library or archive to divulge </w:t>
      </w:r>
      <w:r>
        <w:rPr>
          <w:rFonts w:ascii="Calibri" w:eastAsia="Calibri" w:hAnsi="Calibri" w:cs="Calibri"/>
          <w:b/>
          <w:sz w:val="22"/>
          <w:highlight w:val="white"/>
        </w:rPr>
        <w:t>any</w:t>
      </w:r>
      <w:r>
        <w:rPr>
          <w:rFonts w:ascii="Calibri" w:eastAsia="Calibri" w:hAnsi="Calibri" w:cs="Calibri"/>
          <w:sz w:val="22"/>
          <w:highlight w:val="white"/>
        </w:rPr>
        <w:t xml:space="preserve"> information </w:t>
      </w:r>
      <w:r>
        <w:rPr>
          <w:rFonts w:ascii="Calibri" w:eastAsia="Calibri" w:hAnsi="Calibri" w:cs="Calibri"/>
          <w:sz w:val="22"/>
        </w:rPr>
        <w:t xml:space="preserve">acquired in the course of an inspection. </w:t>
      </w:r>
    </w:p>
    <w:tbl>
      <w:tblPr>
        <w:tblStyle w:val="TableGrid"/>
        <w:tblW w:w="0" w:type="auto"/>
        <w:tblLook w:val="04A0" w:firstRow="1" w:lastRow="0" w:firstColumn="1" w:lastColumn="0" w:noHBand="0" w:noVBand="1"/>
      </w:tblPr>
      <w:tblGrid>
        <w:gridCol w:w="9350"/>
      </w:tblGrid>
      <w:tr w:rsidR="002B3F1C" w14:paraId="4504FBFC" w14:textId="77777777" w:rsidTr="002B3F1C">
        <w:tc>
          <w:tcPr>
            <w:tcW w:w="9576" w:type="dxa"/>
            <w:shd w:val="clear" w:color="auto" w:fill="BDD6EE" w:themeFill="accent1" w:themeFillTint="66"/>
          </w:tcPr>
          <w:p w14:paraId="4A7726DB" w14:textId="77777777" w:rsidR="002B3F1C" w:rsidRDefault="002B3F1C" w:rsidP="002B3F1C">
            <w:pPr>
              <w:rPr>
                <w:rFonts w:ascii="Calibri" w:eastAsia="Calibri" w:hAnsi="Calibri" w:cs="Calibri"/>
                <w:b/>
                <w:sz w:val="22"/>
              </w:rPr>
            </w:pPr>
            <w:r w:rsidRPr="002B3F1C">
              <w:rPr>
                <w:rFonts w:ascii="Calibri" w:eastAsia="Calibri" w:hAnsi="Calibri" w:cs="Calibri"/>
                <w:b/>
                <w:sz w:val="22"/>
              </w:rPr>
              <w:t>Question 12–2          Which Commonwealth laws unjustifiably impose strict or absolute liability for a criminal offence, and why are these laws unjustified?</w:t>
            </w:r>
          </w:p>
          <w:p w14:paraId="7927B75A" w14:textId="77777777" w:rsidR="002B3F1C" w:rsidRPr="002B3F1C" w:rsidRDefault="002B3F1C" w:rsidP="002B3F1C">
            <w:pPr>
              <w:rPr>
                <w:b/>
              </w:rPr>
            </w:pPr>
          </w:p>
          <w:p w14:paraId="03B1FF78" w14:textId="3059B1E0" w:rsidR="002B3F1C" w:rsidRDefault="002B3F1C">
            <w:pPr>
              <w:rPr>
                <w:rFonts w:ascii="Calibri" w:eastAsia="Calibri" w:hAnsi="Calibri" w:cs="Calibri"/>
                <w:sz w:val="22"/>
              </w:rPr>
            </w:pPr>
            <w:r>
              <w:rPr>
                <w:rFonts w:ascii="Calibri" w:eastAsia="Calibri" w:hAnsi="Calibri" w:cs="Calibri"/>
                <w:sz w:val="22"/>
              </w:rPr>
              <w:t xml:space="preserve">The current strict liability provisions in the Act are and ineffective and disproportionate part of the enforcement regime for copyright infringement. Considering their potential for misuse and their wide applicability they unjustifiably encroach on traditional rights and freedoms and should be repealed. </w:t>
            </w:r>
          </w:p>
          <w:p w14:paraId="14F6C56B" w14:textId="77777777" w:rsidR="002B3F1C" w:rsidRDefault="002B3F1C">
            <w:pPr>
              <w:rPr>
                <w:rFonts w:ascii="Calibri" w:eastAsia="Calibri" w:hAnsi="Calibri" w:cs="Calibri"/>
                <w:sz w:val="22"/>
              </w:rPr>
            </w:pPr>
          </w:p>
          <w:p w14:paraId="581A8E14" w14:textId="5EA2572A" w:rsidR="002B3F1C" w:rsidRDefault="002B3F1C">
            <w:r>
              <w:rPr>
                <w:rFonts w:ascii="Calibri" w:eastAsia="Calibri" w:hAnsi="Calibri" w:cs="Calibri"/>
                <w:sz w:val="22"/>
              </w:rPr>
              <w:t>The relevant provisions are set out in the table below.</w:t>
            </w:r>
          </w:p>
          <w:p w14:paraId="5D208E6E" w14:textId="77777777" w:rsidR="002B3F1C" w:rsidRDefault="002B3F1C"/>
        </w:tc>
      </w:tr>
    </w:tbl>
    <w:p w14:paraId="450D5971" w14:textId="5B881CAA" w:rsidR="00F53CF5" w:rsidRDefault="00F53CF5"/>
    <w:p w14:paraId="0FC07A81" w14:textId="77777777" w:rsidR="00F53CF5" w:rsidRDefault="00F53CF5">
      <w:r>
        <w:br w:type="page"/>
      </w:r>
    </w:p>
    <w:p w14:paraId="64D1B135" w14:textId="77777777" w:rsidR="008B6E01" w:rsidRDefault="008B6E01"/>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5955"/>
      </w:tblGrid>
      <w:tr w:rsidR="008B6E01" w14:paraId="3738DB42" w14:textId="77777777">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D114E" w14:textId="77777777" w:rsidR="008B6E01" w:rsidRDefault="00A93D53">
            <w:pPr>
              <w:widowControl w:val="0"/>
              <w:spacing w:before="0" w:after="0" w:line="276" w:lineRule="auto"/>
            </w:pPr>
            <w:r>
              <w:rPr>
                <w:rFonts w:ascii="Calibri" w:eastAsia="Calibri" w:hAnsi="Calibri" w:cs="Calibri"/>
                <w:b/>
                <w:sz w:val="22"/>
                <w:highlight w:val="white"/>
              </w:rPr>
              <w:t>Provision</w:t>
            </w:r>
          </w:p>
        </w:tc>
        <w:tc>
          <w:tcPr>
            <w:tcW w:w="5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FD9B3A" w14:textId="77777777" w:rsidR="008B6E01" w:rsidRDefault="00A93D53">
            <w:pPr>
              <w:widowControl w:val="0"/>
              <w:spacing w:before="0" w:after="0" w:line="276" w:lineRule="auto"/>
            </w:pPr>
            <w:r>
              <w:rPr>
                <w:rFonts w:ascii="Calibri" w:eastAsia="Calibri" w:hAnsi="Calibri" w:cs="Calibri"/>
                <w:b/>
                <w:sz w:val="22"/>
                <w:highlight w:val="white"/>
              </w:rPr>
              <w:t>Offence of strict liability</w:t>
            </w:r>
          </w:p>
        </w:tc>
      </w:tr>
      <w:tr w:rsidR="008B6E01" w14:paraId="16F028CE"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404EFE" w14:textId="77777777" w:rsidR="008B6E01" w:rsidRDefault="00A93D53">
            <w:pPr>
              <w:widowControl w:val="0"/>
              <w:spacing w:before="0" w:after="0" w:line="276" w:lineRule="auto"/>
            </w:pPr>
            <w:r>
              <w:rPr>
                <w:rFonts w:ascii="Calibri" w:eastAsia="Calibri" w:hAnsi="Calibri" w:cs="Calibri"/>
                <w:sz w:val="22"/>
                <w:highlight w:val="white"/>
              </w:rPr>
              <w:t>S47A</w:t>
            </w:r>
          </w:p>
        </w:tc>
        <w:tc>
          <w:tcPr>
            <w:tcW w:w="5955" w:type="dxa"/>
            <w:tcBorders>
              <w:bottom w:val="single" w:sz="8" w:space="0" w:color="000000"/>
              <w:right w:val="single" w:sz="8" w:space="0" w:color="000000"/>
            </w:tcBorders>
            <w:tcMar>
              <w:top w:w="100" w:type="dxa"/>
              <w:left w:w="100" w:type="dxa"/>
              <w:bottom w:w="100" w:type="dxa"/>
              <w:right w:w="100" w:type="dxa"/>
            </w:tcMar>
          </w:tcPr>
          <w:p w14:paraId="0D231BDA" w14:textId="77777777" w:rsidR="008B6E01" w:rsidRDefault="00A93D53">
            <w:pPr>
              <w:widowControl w:val="0"/>
              <w:spacing w:before="0" w:after="0" w:line="276" w:lineRule="auto"/>
            </w:pPr>
            <w:r>
              <w:rPr>
                <w:rFonts w:ascii="Calibri" w:eastAsia="Calibri" w:hAnsi="Calibri" w:cs="Calibri"/>
                <w:sz w:val="22"/>
                <w:highlight w:val="white"/>
              </w:rPr>
              <w:t>Record not retained, print disability radio licence</w:t>
            </w:r>
          </w:p>
        </w:tc>
      </w:tr>
      <w:tr w:rsidR="008B6E01" w14:paraId="4AF022C8"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5A1991" w14:textId="77777777" w:rsidR="008B6E01" w:rsidRDefault="00A93D53">
            <w:pPr>
              <w:widowControl w:val="0"/>
              <w:spacing w:before="0" w:after="0" w:line="276" w:lineRule="auto"/>
            </w:pPr>
            <w:r>
              <w:rPr>
                <w:rFonts w:ascii="Calibri" w:eastAsia="Calibri" w:hAnsi="Calibri" w:cs="Calibri"/>
                <w:sz w:val="22"/>
                <w:highlight w:val="white"/>
              </w:rPr>
              <w:t>S132AD(5)</w:t>
            </w:r>
          </w:p>
        </w:tc>
        <w:tc>
          <w:tcPr>
            <w:tcW w:w="5955" w:type="dxa"/>
            <w:tcBorders>
              <w:bottom w:val="single" w:sz="8" w:space="0" w:color="000000"/>
              <w:right w:val="single" w:sz="8" w:space="0" w:color="000000"/>
            </w:tcBorders>
            <w:tcMar>
              <w:top w:w="100" w:type="dxa"/>
              <w:left w:w="100" w:type="dxa"/>
              <w:bottom w:w="100" w:type="dxa"/>
              <w:right w:w="100" w:type="dxa"/>
            </w:tcMar>
          </w:tcPr>
          <w:p w14:paraId="19938208" w14:textId="77777777" w:rsidR="008B6E01" w:rsidRDefault="00A93D53">
            <w:pPr>
              <w:widowControl w:val="0"/>
              <w:spacing w:before="0" w:after="0" w:line="276" w:lineRule="auto"/>
            </w:pPr>
            <w:r>
              <w:rPr>
                <w:rFonts w:ascii="Calibri" w:eastAsia="Calibri" w:hAnsi="Calibri" w:cs="Calibri"/>
                <w:sz w:val="22"/>
                <w:highlight w:val="white"/>
              </w:rPr>
              <w:t>Making an infringing copy in preparation for, or in course of selling, letting or obtaining commercial advantage or profit.</w:t>
            </w:r>
          </w:p>
        </w:tc>
      </w:tr>
      <w:tr w:rsidR="008B6E01" w14:paraId="187A7415"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31D22" w14:textId="77777777" w:rsidR="008B6E01" w:rsidRDefault="00A93D53">
            <w:pPr>
              <w:widowControl w:val="0"/>
              <w:spacing w:before="0" w:after="0" w:line="276" w:lineRule="auto"/>
            </w:pPr>
            <w:r>
              <w:rPr>
                <w:rFonts w:ascii="Calibri" w:eastAsia="Calibri" w:hAnsi="Calibri" w:cs="Calibri"/>
                <w:sz w:val="22"/>
                <w:highlight w:val="white"/>
              </w:rPr>
              <w:t>S132AE(5)</w:t>
            </w:r>
          </w:p>
        </w:tc>
        <w:tc>
          <w:tcPr>
            <w:tcW w:w="5955" w:type="dxa"/>
            <w:tcBorders>
              <w:bottom w:val="single" w:sz="8" w:space="0" w:color="000000"/>
              <w:right w:val="single" w:sz="8" w:space="0" w:color="000000"/>
            </w:tcBorders>
            <w:tcMar>
              <w:top w:w="100" w:type="dxa"/>
              <w:left w:w="100" w:type="dxa"/>
              <w:bottom w:w="100" w:type="dxa"/>
              <w:right w:w="100" w:type="dxa"/>
            </w:tcMar>
          </w:tcPr>
          <w:p w14:paraId="50319052" w14:textId="77777777" w:rsidR="008B6E01" w:rsidRDefault="00A93D53">
            <w:pPr>
              <w:widowControl w:val="0"/>
              <w:spacing w:before="0" w:after="0" w:line="276" w:lineRule="auto"/>
            </w:pPr>
            <w:r>
              <w:rPr>
                <w:rFonts w:ascii="Calibri" w:eastAsia="Calibri" w:hAnsi="Calibri" w:cs="Calibri"/>
                <w:sz w:val="22"/>
                <w:highlight w:val="white"/>
              </w:rPr>
              <w:t>Selling or hiring infringing article by way of trade</w:t>
            </w:r>
          </w:p>
        </w:tc>
      </w:tr>
      <w:tr w:rsidR="008B6E01" w14:paraId="686426F6"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C3F863" w14:textId="77777777" w:rsidR="008B6E01" w:rsidRDefault="00A93D53">
            <w:pPr>
              <w:widowControl w:val="0"/>
              <w:spacing w:before="0" w:after="0" w:line="276" w:lineRule="auto"/>
            </w:pPr>
            <w:r>
              <w:rPr>
                <w:rFonts w:ascii="Calibri" w:eastAsia="Calibri" w:hAnsi="Calibri" w:cs="Calibri"/>
                <w:sz w:val="22"/>
                <w:highlight w:val="white"/>
              </w:rPr>
              <w:t>S132AF(7)</w:t>
            </w:r>
          </w:p>
        </w:tc>
        <w:tc>
          <w:tcPr>
            <w:tcW w:w="5955" w:type="dxa"/>
            <w:tcBorders>
              <w:bottom w:val="single" w:sz="8" w:space="0" w:color="000000"/>
              <w:right w:val="single" w:sz="8" w:space="0" w:color="000000"/>
            </w:tcBorders>
            <w:tcMar>
              <w:top w:w="100" w:type="dxa"/>
              <w:left w:w="100" w:type="dxa"/>
              <w:bottom w:w="100" w:type="dxa"/>
              <w:right w:w="100" w:type="dxa"/>
            </w:tcMar>
          </w:tcPr>
          <w:p w14:paraId="751CAEA0" w14:textId="77777777" w:rsidR="008B6E01" w:rsidRDefault="00A93D53">
            <w:pPr>
              <w:widowControl w:val="0"/>
              <w:spacing w:before="0" w:after="0" w:line="276" w:lineRule="auto"/>
            </w:pPr>
            <w:r>
              <w:rPr>
                <w:rFonts w:ascii="Calibri" w:eastAsia="Calibri" w:hAnsi="Calibri" w:cs="Calibri"/>
                <w:sz w:val="22"/>
                <w:highlight w:val="white"/>
              </w:rPr>
              <w:t>Offering infringing copies for sale or hire</w:t>
            </w:r>
          </w:p>
        </w:tc>
      </w:tr>
      <w:tr w:rsidR="008B6E01" w14:paraId="2B6977AE"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378880" w14:textId="77777777" w:rsidR="008B6E01" w:rsidRDefault="00A93D53">
            <w:pPr>
              <w:widowControl w:val="0"/>
              <w:spacing w:before="0" w:after="0" w:line="276" w:lineRule="auto"/>
            </w:pPr>
            <w:r>
              <w:rPr>
                <w:rFonts w:ascii="Calibri" w:eastAsia="Calibri" w:hAnsi="Calibri" w:cs="Calibri"/>
                <w:sz w:val="22"/>
                <w:highlight w:val="white"/>
              </w:rPr>
              <w:t>S132AG(5)</w:t>
            </w:r>
          </w:p>
        </w:tc>
        <w:tc>
          <w:tcPr>
            <w:tcW w:w="5955" w:type="dxa"/>
            <w:tcBorders>
              <w:bottom w:val="single" w:sz="8" w:space="0" w:color="000000"/>
              <w:right w:val="single" w:sz="8" w:space="0" w:color="000000"/>
            </w:tcBorders>
            <w:tcMar>
              <w:top w:w="100" w:type="dxa"/>
              <w:left w:w="100" w:type="dxa"/>
              <w:bottom w:w="100" w:type="dxa"/>
              <w:right w:w="100" w:type="dxa"/>
            </w:tcMar>
          </w:tcPr>
          <w:p w14:paraId="1E7C8E3D" w14:textId="77777777" w:rsidR="008B6E01" w:rsidRDefault="00A93D53">
            <w:pPr>
              <w:widowControl w:val="0"/>
              <w:spacing w:before="0" w:after="0" w:line="276" w:lineRule="auto"/>
            </w:pPr>
            <w:r>
              <w:rPr>
                <w:rFonts w:ascii="Calibri" w:eastAsia="Calibri" w:hAnsi="Calibri" w:cs="Calibri"/>
                <w:sz w:val="22"/>
              </w:rPr>
              <w:t>Exhibiting infringing copy in public commercially</w:t>
            </w:r>
          </w:p>
        </w:tc>
      </w:tr>
      <w:tr w:rsidR="008B6E01" w14:paraId="482EB2F4"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210690" w14:textId="77777777" w:rsidR="008B6E01" w:rsidRDefault="00A93D53">
            <w:pPr>
              <w:widowControl w:val="0"/>
              <w:spacing w:before="0" w:after="0" w:line="276" w:lineRule="auto"/>
            </w:pPr>
            <w:r>
              <w:rPr>
                <w:rFonts w:ascii="Calibri" w:eastAsia="Calibri" w:hAnsi="Calibri" w:cs="Calibri"/>
                <w:sz w:val="22"/>
                <w:highlight w:val="white"/>
              </w:rPr>
              <w:t>S132AH(5)</w:t>
            </w:r>
          </w:p>
        </w:tc>
        <w:tc>
          <w:tcPr>
            <w:tcW w:w="5955" w:type="dxa"/>
            <w:tcBorders>
              <w:bottom w:val="single" w:sz="8" w:space="0" w:color="000000"/>
              <w:right w:val="single" w:sz="8" w:space="0" w:color="000000"/>
            </w:tcBorders>
            <w:tcMar>
              <w:top w:w="100" w:type="dxa"/>
              <w:left w:w="100" w:type="dxa"/>
              <w:bottom w:w="100" w:type="dxa"/>
              <w:right w:w="100" w:type="dxa"/>
            </w:tcMar>
          </w:tcPr>
          <w:p w14:paraId="76056633" w14:textId="77777777" w:rsidR="008B6E01" w:rsidRDefault="00A93D53">
            <w:pPr>
              <w:widowControl w:val="0"/>
              <w:spacing w:before="0" w:after="0" w:line="276" w:lineRule="auto"/>
            </w:pPr>
            <w:r>
              <w:rPr>
                <w:rFonts w:ascii="Calibri" w:eastAsia="Calibri" w:hAnsi="Calibri" w:cs="Calibri"/>
                <w:sz w:val="22"/>
                <w:highlight w:val="white"/>
              </w:rPr>
              <w:t>Commercial importation of infringing copy</w:t>
            </w:r>
          </w:p>
        </w:tc>
      </w:tr>
      <w:tr w:rsidR="008B6E01" w14:paraId="354B95A5"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94215E" w14:textId="77777777" w:rsidR="008B6E01" w:rsidRDefault="00A93D53">
            <w:pPr>
              <w:widowControl w:val="0"/>
              <w:spacing w:before="0" w:after="0" w:line="276" w:lineRule="auto"/>
            </w:pPr>
            <w:r>
              <w:rPr>
                <w:rFonts w:ascii="Calibri" w:eastAsia="Calibri" w:hAnsi="Calibri" w:cs="Calibri"/>
                <w:sz w:val="22"/>
                <w:highlight w:val="white"/>
              </w:rPr>
              <w:t>S132AI(5)</w:t>
            </w:r>
          </w:p>
        </w:tc>
        <w:tc>
          <w:tcPr>
            <w:tcW w:w="5955" w:type="dxa"/>
            <w:tcBorders>
              <w:bottom w:val="single" w:sz="8" w:space="0" w:color="000000"/>
              <w:right w:val="single" w:sz="8" w:space="0" w:color="000000"/>
            </w:tcBorders>
            <w:tcMar>
              <w:top w:w="100" w:type="dxa"/>
              <w:left w:w="100" w:type="dxa"/>
              <w:bottom w:w="100" w:type="dxa"/>
              <w:right w:w="100" w:type="dxa"/>
            </w:tcMar>
          </w:tcPr>
          <w:p w14:paraId="47D0EE1C" w14:textId="77777777" w:rsidR="008B6E01" w:rsidRDefault="00A93D53">
            <w:pPr>
              <w:widowControl w:val="0"/>
              <w:spacing w:before="0" w:after="0" w:line="276" w:lineRule="auto"/>
            </w:pPr>
            <w:r>
              <w:rPr>
                <w:rFonts w:ascii="Calibri" w:eastAsia="Calibri" w:hAnsi="Calibri" w:cs="Calibri"/>
                <w:sz w:val="22"/>
                <w:highlight w:val="white"/>
              </w:rPr>
              <w:t>Distribution of infringing copy for trade or commercial advantage</w:t>
            </w:r>
          </w:p>
        </w:tc>
      </w:tr>
      <w:tr w:rsidR="008B6E01" w14:paraId="0ACC32C9"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B89CE1" w14:textId="77777777" w:rsidR="008B6E01" w:rsidRDefault="00A93D53">
            <w:pPr>
              <w:widowControl w:val="0"/>
              <w:spacing w:before="0" w:after="0" w:line="276" w:lineRule="auto"/>
            </w:pPr>
            <w:r>
              <w:rPr>
                <w:rFonts w:ascii="Calibri" w:eastAsia="Calibri" w:hAnsi="Calibri" w:cs="Calibri"/>
                <w:sz w:val="22"/>
                <w:highlight w:val="white"/>
              </w:rPr>
              <w:t>S132AJ(5)</w:t>
            </w:r>
          </w:p>
        </w:tc>
        <w:tc>
          <w:tcPr>
            <w:tcW w:w="5955" w:type="dxa"/>
            <w:tcBorders>
              <w:bottom w:val="single" w:sz="8" w:space="0" w:color="000000"/>
              <w:right w:val="single" w:sz="8" w:space="0" w:color="000000"/>
            </w:tcBorders>
            <w:tcMar>
              <w:top w:w="100" w:type="dxa"/>
              <w:left w:w="100" w:type="dxa"/>
              <w:bottom w:w="100" w:type="dxa"/>
              <w:right w:w="100" w:type="dxa"/>
            </w:tcMar>
          </w:tcPr>
          <w:p w14:paraId="58673795" w14:textId="77777777" w:rsidR="008B6E01" w:rsidRDefault="00A93D53">
            <w:pPr>
              <w:widowControl w:val="0"/>
              <w:spacing w:before="0" w:after="0" w:line="276" w:lineRule="auto"/>
            </w:pPr>
            <w:r>
              <w:rPr>
                <w:rFonts w:ascii="Calibri" w:eastAsia="Calibri" w:hAnsi="Calibri" w:cs="Calibri"/>
                <w:sz w:val="22"/>
                <w:highlight w:val="white"/>
              </w:rPr>
              <w:t>Possession of infringing copy for commerce</w:t>
            </w:r>
          </w:p>
        </w:tc>
      </w:tr>
      <w:tr w:rsidR="008B6E01" w14:paraId="20A0D302"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C512D3" w14:textId="77777777" w:rsidR="008B6E01" w:rsidRDefault="00A93D53">
            <w:pPr>
              <w:widowControl w:val="0"/>
              <w:spacing w:before="0" w:after="0" w:line="276" w:lineRule="auto"/>
            </w:pPr>
            <w:r>
              <w:rPr>
                <w:rFonts w:ascii="Calibri" w:eastAsia="Calibri" w:hAnsi="Calibri" w:cs="Calibri"/>
                <w:sz w:val="22"/>
                <w:highlight w:val="white"/>
              </w:rPr>
              <w:t>S132AL(8)</w:t>
            </w:r>
          </w:p>
        </w:tc>
        <w:tc>
          <w:tcPr>
            <w:tcW w:w="5955" w:type="dxa"/>
            <w:tcBorders>
              <w:bottom w:val="single" w:sz="8" w:space="0" w:color="000000"/>
              <w:right w:val="single" w:sz="8" w:space="0" w:color="000000"/>
            </w:tcBorders>
            <w:tcMar>
              <w:top w:w="100" w:type="dxa"/>
              <w:left w:w="100" w:type="dxa"/>
              <w:bottom w:w="100" w:type="dxa"/>
              <w:right w:w="100" w:type="dxa"/>
            </w:tcMar>
          </w:tcPr>
          <w:p w14:paraId="616FFF45" w14:textId="77777777" w:rsidR="008B6E01" w:rsidRDefault="00A93D53">
            <w:pPr>
              <w:widowControl w:val="0"/>
              <w:spacing w:before="0" w:after="0" w:line="276" w:lineRule="auto"/>
            </w:pPr>
            <w:r>
              <w:rPr>
                <w:rFonts w:ascii="Calibri" w:eastAsia="Calibri" w:hAnsi="Calibri" w:cs="Calibri"/>
                <w:sz w:val="22"/>
                <w:highlight w:val="white"/>
              </w:rPr>
              <w:t>Making a device for making an infringing copy</w:t>
            </w:r>
          </w:p>
        </w:tc>
      </w:tr>
      <w:tr w:rsidR="008B6E01" w14:paraId="7F82DCB2"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CBBE81" w14:textId="77777777" w:rsidR="008B6E01" w:rsidRDefault="00A93D53">
            <w:pPr>
              <w:widowControl w:val="0"/>
              <w:spacing w:before="0" w:after="0" w:line="276" w:lineRule="auto"/>
            </w:pPr>
            <w:r>
              <w:rPr>
                <w:rFonts w:ascii="Calibri" w:eastAsia="Calibri" w:hAnsi="Calibri" w:cs="Calibri"/>
                <w:sz w:val="22"/>
                <w:highlight w:val="white"/>
              </w:rPr>
              <w:t>S132AO(5)</w:t>
            </w:r>
          </w:p>
        </w:tc>
        <w:tc>
          <w:tcPr>
            <w:tcW w:w="5955" w:type="dxa"/>
            <w:tcBorders>
              <w:bottom w:val="single" w:sz="8" w:space="0" w:color="000000"/>
              <w:right w:val="single" w:sz="8" w:space="0" w:color="000000"/>
            </w:tcBorders>
            <w:tcMar>
              <w:top w:w="100" w:type="dxa"/>
              <w:left w:w="100" w:type="dxa"/>
              <w:bottom w:w="100" w:type="dxa"/>
              <w:right w:w="100" w:type="dxa"/>
            </w:tcMar>
          </w:tcPr>
          <w:p w14:paraId="27583F58" w14:textId="77777777" w:rsidR="008B6E01" w:rsidRDefault="00A93D53">
            <w:pPr>
              <w:widowControl w:val="0"/>
              <w:spacing w:before="0" w:after="0" w:line="276" w:lineRule="auto"/>
            </w:pPr>
            <w:r>
              <w:rPr>
                <w:rFonts w:ascii="Calibri" w:eastAsia="Calibri" w:hAnsi="Calibri" w:cs="Calibri"/>
                <w:sz w:val="22"/>
                <w:highlight w:val="white"/>
              </w:rPr>
              <w:t>Causing a cinematographic film to be seen in a place of public entertainment</w:t>
            </w:r>
          </w:p>
        </w:tc>
      </w:tr>
      <w:tr w:rsidR="008B6E01" w14:paraId="3A4617EB"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598EAD" w14:textId="77777777" w:rsidR="008B6E01" w:rsidRDefault="00A93D53">
            <w:pPr>
              <w:widowControl w:val="0"/>
              <w:spacing w:before="0" w:after="0" w:line="276" w:lineRule="auto"/>
            </w:pPr>
            <w:r>
              <w:rPr>
                <w:rFonts w:ascii="Calibri" w:eastAsia="Calibri" w:hAnsi="Calibri" w:cs="Calibri"/>
                <w:sz w:val="22"/>
                <w:highlight w:val="white"/>
              </w:rPr>
              <w:t>S132AQ(5)</w:t>
            </w:r>
          </w:p>
        </w:tc>
        <w:tc>
          <w:tcPr>
            <w:tcW w:w="5955" w:type="dxa"/>
            <w:tcBorders>
              <w:bottom w:val="single" w:sz="8" w:space="0" w:color="000000"/>
              <w:right w:val="single" w:sz="8" w:space="0" w:color="000000"/>
            </w:tcBorders>
            <w:tcMar>
              <w:top w:w="100" w:type="dxa"/>
              <w:left w:w="100" w:type="dxa"/>
              <w:bottom w:w="100" w:type="dxa"/>
              <w:right w:w="100" w:type="dxa"/>
            </w:tcMar>
          </w:tcPr>
          <w:p w14:paraId="38C35FFC" w14:textId="77777777" w:rsidR="008B6E01" w:rsidRDefault="00A93D53">
            <w:pPr>
              <w:widowControl w:val="0"/>
              <w:spacing w:before="0" w:after="0" w:line="276" w:lineRule="auto"/>
            </w:pPr>
            <w:r>
              <w:rPr>
                <w:rFonts w:ascii="Calibri" w:eastAsia="Calibri" w:hAnsi="Calibri" w:cs="Calibri"/>
                <w:sz w:val="22"/>
                <w:highlight w:val="white"/>
              </w:rPr>
              <w:t>Removing or altering electronic rights management information</w:t>
            </w:r>
          </w:p>
        </w:tc>
      </w:tr>
      <w:tr w:rsidR="008B6E01" w14:paraId="23C2CEA0"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107640" w14:textId="77777777" w:rsidR="008B6E01" w:rsidRDefault="00A93D53">
            <w:pPr>
              <w:widowControl w:val="0"/>
              <w:spacing w:before="0" w:after="0" w:line="276" w:lineRule="auto"/>
            </w:pPr>
            <w:r>
              <w:rPr>
                <w:rFonts w:ascii="Calibri" w:eastAsia="Calibri" w:hAnsi="Calibri" w:cs="Calibri"/>
                <w:sz w:val="22"/>
                <w:highlight w:val="white"/>
              </w:rPr>
              <w:t>132AR(5)</w:t>
            </w:r>
          </w:p>
        </w:tc>
        <w:tc>
          <w:tcPr>
            <w:tcW w:w="5955" w:type="dxa"/>
            <w:tcBorders>
              <w:bottom w:val="single" w:sz="8" w:space="0" w:color="000000"/>
              <w:right w:val="single" w:sz="8" w:space="0" w:color="000000"/>
            </w:tcBorders>
            <w:tcMar>
              <w:top w:w="100" w:type="dxa"/>
              <w:left w:w="100" w:type="dxa"/>
              <w:bottom w:w="100" w:type="dxa"/>
              <w:right w:w="100" w:type="dxa"/>
            </w:tcMar>
          </w:tcPr>
          <w:p w14:paraId="489553F6" w14:textId="77777777" w:rsidR="008B6E01" w:rsidRDefault="00A93D53">
            <w:pPr>
              <w:widowControl w:val="0"/>
              <w:spacing w:before="0" w:after="0" w:line="276" w:lineRule="auto"/>
            </w:pPr>
            <w:r>
              <w:rPr>
                <w:rFonts w:ascii="Calibri" w:eastAsia="Calibri" w:hAnsi="Calibri" w:cs="Calibri"/>
                <w:sz w:val="22"/>
                <w:highlight w:val="white"/>
              </w:rPr>
              <w:t>Distributing, importing or copying copies after removal or alteration of electronic rights management</w:t>
            </w:r>
          </w:p>
        </w:tc>
      </w:tr>
      <w:tr w:rsidR="008B6E01" w14:paraId="3A42D076"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7D83D4" w14:textId="77777777" w:rsidR="008B6E01" w:rsidRDefault="00A93D53">
            <w:pPr>
              <w:widowControl w:val="0"/>
              <w:spacing w:before="0" w:after="0" w:line="276" w:lineRule="auto"/>
            </w:pPr>
            <w:r>
              <w:rPr>
                <w:rFonts w:ascii="Calibri" w:eastAsia="Calibri" w:hAnsi="Calibri" w:cs="Calibri"/>
                <w:sz w:val="22"/>
                <w:highlight w:val="white"/>
              </w:rPr>
              <w:t>S132AS(5)</w:t>
            </w:r>
          </w:p>
        </w:tc>
        <w:tc>
          <w:tcPr>
            <w:tcW w:w="5955" w:type="dxa"/>
            <w:tcBorders>
              <w:bottom w:val="single" w:sz="8" w:space="0" w:color="000000"/>
              <w:right w:val="single" w:sz="8" w:space="0" w:color="000000"/>
            </w:tcBorders>
            <w:tcMar>
              <w:top w:w="100" w:type="dxa"/>
              <w:left w:w="100" w:type="dxa"/>
              <w:bottom w:w="100" w:type="dxa"/>
              <w:right w:w="100" w:type="dxa"/>
            </w:tcMar>
          </w:tcPr>
          <w:p w14:paraId="01371C3C" w14:textId="77777777" w:rsidR="008B6E01" w:rsidRDefault="00A93D53">
            <w:pPr>
              <w:widowControl w:val="0"/>
              <w:spacing w:before="0" w:after="0" w:line="276" w:lineRule="auto"/>
            </w:pPr>
            <w:r>
              <w:rPr>
                <w:rFonts w:ascii="Calibri" w:eastAsia="Calibri" w:hAnsi="Calibri" w:cs="Calibri"/>
                <w:sz w:val="22"/>
                <w:highlight w:val="white"/>
              </w:rPr>
              <w:t>Distributing or importing electronic rights management information</w:t>
            </w:r>
          </w:p>
        </w:tc>
      </w:tr>
      <w:tr w:rsidR="008B6E01" w14:paraId="2CCA7782"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440E38" w14:textId="77777777" w:rsidR="008B6E01" w:rsidRDefault="00A93D53">
            <w:pPr>
              <w:widowControl w:val="0"/>
              <w:spacing w:before="0" w:after="0" w:line="276" w:lineRule="auto"/>
            </w:pPr>
            <w:r>
              <w:rPr>
                <w:rFonts w:ascii="Calibri" w:eastAsia="Calibri" w:hAnsi="Calibri" w:cs="Calibri"/>
                <w:sz w:val="22"/>
                <w:highlight w:val="white"/>
              </w:rPr>
              <w:t>S133B/s248SA</w:t>
            </w:r>
          </w:p>
        </w:tc>
        <w:tc>
          <w:tcPr>
            <w:tcW w:w="5955" w:type="dxa"/>
            <w:tcBorders>
              <w:bottom w:val="single" w:sz="8" w:space="0" w:color="000000"/>
              <w:right w:val="single" w:sz="8" w:space="0" w:color="000000"/>
            </w:tcBorders>
            <w:tcMar>
              <w:top w:w="100" w:type="dxa"/>
              <w:left w:w="100" w:type="dxa"/>
              <w:bottom w:w="100" w:type="dxa"/>
              <w:right w:w="100" w:type="dxa"/>
            </w:tcMar>
          </w:tcPr>
          <w:p w14:paraId="3DE246FF" w14:textId="77777777" w:rsidR="008B6E01" w:rsidRDefault="00A93D53">
            <w:pPr>
              <w:widowControl w:val="0"/>
              <w:spacing w:before="0" w:after="0" w:line="276" w:lineRule="auto"/>
            </w:pPr>
            <w:r>
              <w:rPr>
                <w:rFonts w:ascii="Calibri" w:eastAsia="Calibri" w:hAnsi="Calibri" w:cs="Calibri"/>
                <w:sz w:val="22"/>
                <w:highlight w:val="white"/>
              </w:rPr>
              <w:t>Not technically an offences of strict liability, but allows for the infringement notices for offences of strict liability</w:t>
            </w:r>
          </w:p>
        </w:tc>
      </w:tr>
      <w:tr w:rsidR="008B6E01" w14:paraId="2CC5E121"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578C04" w14:textId="77777777" w:rsidR="008B6E01" w:rsidRDefault="00A93D53">
            <w:pPr>
              <w:widowControl w:val="0"/>
              <w:spacing w:before="0" w:after="0" w:line="276" w:lineRule="auto"/>
            </w:pPr>
            <w:r>
              <w:rPr>
                <w:rFonts w:ascii="Calibri" w:eastAsia="Calibri" w:hAnsi="Calibri" w:cs="Calibri"/>
                <w:sz w:val="22"/>
                <w:highlight w:val="white"/>
              </w:rPr>
              <w:t>S203A(1)</w:t>
            </w:r>
          </w:p>
        </w:tc>
        <w:tc>
          <w:tcPr>
            <w:tcW w:w="5955" w:type="dxa"/>
            <w:tcBorders>
              <w:bottom w:val="single" w:sz="8" w:space="0" w:color="000000"/>
              <w:right w:val="single" w:sz="8" w:space="0" w:color="000000"/>
            </w:tcBorders>
            <w:tcMar>
              <w:top w:w="100" w:type="dxa"/>
              <w:left w:w="100" w:type="dxa"/>
              <w:bottom w:w="100" w:type="dxa"/>
              <w:right w:w="100" w:type="dxa"/>
            </w:tcMar>
          </w:tcPr>
          <w:p w14:paraId="2FA374D5" w14:textId="77777777" w:rsidR="008B6E01" w:rsidRDefault="00A93D53">
            <w:pPr>
              <w:widowControl w:val="0"/>
              <w:spacing w:before="0" w:after="0" w:line="276" w:lineRule="auto"/>
            </w:pPr>
            <w:r>
              <w:rPr>
                <w:rFonts w:ascii="Calibri" w:eastAsia="Calibri" w:hAnsi="Calibri" w:cs="Calibri"/>
                <w:sz w:val="22"/>
                <w:highlight w:val="white"/>
              </w:rPr>
              <w:t>Not keeping records, libraries and archives</w:t>
            </w:r>
          </w:p>
        </w:tc>
      </w:tr>
      <w:tr w:rsidR="008B6E01" w14:paraId="4934B3CB"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5A68FC" w14:textId="77777777" w:rsidR="008B6E01" w:rsidRDefault="00A93D53">
            <w:pPr>
              <w:widowControl w:val="0"/>
              <w:spacing w:before="0" w:after="0" w:line="276" w:lineRule="auto"/>
            </w:pPr>
            <w:r>
              <w:rPr>
                <w:rFonts w:ascii="Calibri" w:eastAsia="Calibri" w:hAnsi="Calibri" w:cs="Calibri"/>
                <w:sz w:val="22"/>
                <w:highlight w:val="white"/>
              </w:rPr>
              <w:t>S203D(1)</w:t>
            </w:r>
          </w:p>
        </w:tc>
        <w:tc>
          <w:tcPr>
            <w:tcW w:w="5955" w:type="dxa"/>
            <w:tcBorders>
              <w:bottom w:val="single" w:sz="8" w:space="0" w:color="000000"/>
              <w:right w:val="single" w:sz="8" w:space="0" w:color="000000"/>
            </w:tcBorders>
            <w:tcMar>
              <w:top w:w="100" w:type="dxa"/>
              <w:left w:w="100" w:type="dxa"/>
              <w:bottom w:w="100" w:type="dxa"/>
              <w:right w:w="100" w:type="dxa"/>
            </w:tcMar>
          </w:tcPr>
          <w:p w14:paraId="2D7A55A7" w14:textId="77777777" w:rsidR="008B6E01" w:rsidRDefault="00A93D53">
            <w:pPr>
              <w:widowControl w:val="0"/>
              <w:spacing w:before="0" w:after="0" w:line="276" w:lineRule="auto"/>
            </w:pPr>
            <w:r>
              <w:rPr>
                <w:rFonts w:ascii="Calibri" w:eastAsia="Calibri" w:hAnsi="Calibri" w:cs="Calibri"/>
                <w:sz w:val="22"/>
                <w:highlight w:val="white"/>
              </w:rPr>
              <w:t>Not keeping records in chronological order</w:t>
            </w:r>
          </w:p>
        </w:tc>
      </w:tr>
      <w:tr w:rsidR="008B6E01" w14:paraId="35FB3E09"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E26192" w14:textId="77777777" w:rsidR="008B6E01" w:rsidRDefault="00A93D53">
            <w:pPr>
              <w:widowControl w:val="0"/>
              <w:spacing w:before="0" w:after="0" w:line="276" w:lineRule="auto"/>
            </w:pPr>
            <w:r>
              <w:rPr>
                <w:rFonts w:ascii="Calibri" w:eastAsia="Calibri" w:hAnsi="Calibri" w:cs="Calibri"/>
                <w:sz w:val="22"/>
                <w:highlight w:val="white"/>
              </w:rPr>
              <w:t>S203E(6)</w:t>
            </w:r>
          </w:p>
        </w:tc>
        <w:tc>
          <w:tcPr>
            <w:tcW w:w="5955" w:type="dxa"/>
            <w:tcBorders>
              <w:bottom w:val="single" w:sz="8" w:space="0" w:color="000000"/>
              <w:right w:val="single" w:sz="8" w:space="0" w:color="000000"/>
            </w:tcBorders>
            <w:tcMar>
              <w:top w:w="100" w:type="dxa"/>
              <w:left w:w="100" w:type="dxa"/>
              <w:bottom w:w="100" w:type="dxa"/>
              <w:right w:w="100" w:type="dxa"/>
            </w:tcMar>
          </w:tcPr>
          <w:p w14:paraId="58C5C3F4" w14:textId="77777777" w:rsidR="008B6E01" w:rsidRDefault="00A93D53">
            <w:pPr>
              <w:widowControl w:val="0"/>
              <w:spacing w:before="0" w:after="0" w:line="276" w:lineRule="auto"/>
            </w:pPr>
            <w:r>
              <w:rPr>
                <w:rFonts w:ascii="Calibri" w:eastAsia="Calibri" w:hAnsi="Calibri" w:cs="Calibri"/>
                <w:sz w:val="22"/>
                <w:highlight w:val="white"/>
              </w:rPr>
              <w:t>Not providing inspector of a library or archive ‘all reasonable facilities and assistance’</w:t>
            </w:r>
          </w:p>
        </w:tc>
      </w:tr>
      <w:tr w:rsidR="008B6E01" w14:paraId="53E831AD"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87A34F" w14:textId="77777777" w:rsidR="008B6E01" w:rsidRDefault="00A93D53">
            <w:pPr>
              <w:widowControl w:val="0"/>
              <w:spacing w:before="0" w:after="0" w:line="276" w:lineRule="auto"/>
            </w:pPr>
            <w:r>
              <w:rPr>
                <w:rFonts w:ascii="Calibri" w:eastAsia="Calibri" w:hAnsi="Calibri" w:cs="Calibri"/>
                <w:sz w:val="22"/>
                <w:highlight w:val="white"/>
              </w:rPr>
              <w:t>S203E(10)</w:t>
            </w:r>
          </w:p>
        </w:tc>
        <w:tc>
          <w:tcPr>
            <w:tcW w:w="5955" w:type="dxa"/>
            <w:tcBorders>
              <w:bottom w:val="single" w:sz="8" w:space="0" w:color="000000"/>
              <w:right w:val="single" w:sz="8" w:space="0" w:color="000000"/>
            </w:tcBorders>
            <w:tcMar>
              <w:top w:w="100" w:type="dxa"/>
              <w:left w:w="100" w:type="dxa"/>
              <w:bottom w:w="100" w:type="dxa"/>
              <w:right w:w="100" w:type="dxa"/>
            </w:tcMar>
          </w:tcPr>
          <w:p w14:paraId="2890BE7B" w14:textId="77777777" w:rsidR="008B6E01" w:rsidRDefault="00A93D53">
            <w:pPr>
              <w:widowControl w:val="0"/>
              <w:spacing w:before="0" w:after="0" w:line="276" w:lineRule="auto"/>
            </w:pPr>
            <w:r>
              <w:rPr>
                <w:rFonts w:ascii="Calibri" w:eastAsia="Calibri" w:hAnsi="Calibri" w:cs="Calibri"/>
                <w:sz w:val="22"/>
                <w:highlight w:val="white"/>
              </w:rPr>
              <w:t>Divulging information from an inspection</w:t>
            </w:r>
          </w:p>
        </w:tc>
      </w:tr>
      <w:tr w:rsidR="008B6E01" w14:paraId="402DD296"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C6A526" w14:textId="77777777" w:rsidR="008B6E01" w:rsidRDefault="00A93D53">
            <w:pPr>
              <w:widowControl w:val="0"/>
              <w:spacing w:before="0" w:after="0" w:line="276" w:lineRule="auto"/>
            </w:pPr>
            <w:r>
              <w:rPr>
                <w:rFonts w:ascii="Calibri" w:eastAsia="Calibri" w:hAnsi="Calibri" w:cs="Calibri"/>
                <w:sz w:val="22"/>
                <w:highlight w:val="white"/>
              </w:rPr>
              <w:lastRenderedPageBreak/>
              <w:t>S248PB(5)</w:t>
            </w:r>
          </w:p>
        </w:tc>
        <w:tc>
          <w:tcPr>
            <w:tcW w:w="5955" w:type="dxa"/>
            <w:tcBorders>
              <w:bottom w:val="single" w:sz="8" w:space="0" w:color="000000"/>
              <w:right w:val="single" w:sz="8" w:space="0" w:color="000000"/>
            </w:tcBorders>
            <w:tcMar>
              <w:top w:w="100" w:type="dxa"/>
              <w:left w:w="100" w:type="dxa"/>
              <w:bottom w:w="100" w:type="dxa"/>
              <w:right w:w="100" w:type="dxa"/>
            </w:tcMar>
          </w:tcPr>
          <w:p w14:paraId="18BA5A7B" w14:textId="77777777" w:rsidR="008B6E01" w:rsidRDefault="00A93D53">
            <w:pPr>
              <w:widowControl w:val="0"/>
              <w:spacing w:before="0" w:after="0" w:line="276" w:lineRule="auto"/>
            </w:pPr>
            <w:r>
              <w:rPr>
                <w:rFonts w:ascii="Calibri" w:eastAsia="Calibri" w:hAnsi="Calibri" w:cs="Calibri"/>
                <w:sz w:val="22"/>
                <w:highlight w:val="white"/>
              </w:rPr>
              <w:t>Making an unauthorized indirect recording of a performance</w:t>
            </w:r>
          </w:p>
        </w:tc>
      </w:tr>
      <w:tr w:rsidR="008B6E01" w14:paraId="695AD424"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F49D48" w14:textId="77777777" w:rsidR="008B6E01" w:rsidRDefault="00A93D53">
            <w:pPr>
              <w:widowControl w:val="0"/>
              <w:spacing w:before="0" w:after="0" w:line="276" w:lineRule="auto"/>
            </w:pPr>
            <w:r>
              <w:rPr>
                <w:rFonts w:ascii="Calibri" w:eastAsia="Calibri" w:hAnsi="Calibri" w:cs="Calibri"/>
                <w:sz w:val="22"/>
                <w:highlight w:val="white"/>
              </w:rPr>
              <w:t>S248PF(5)</w:t>
            </w:r>
          </w:p>
        </w:tc>
        <w:tc>
          <w:tcPr>
            <w:tcW w:w="5955" w:type="dxa"/>
            <w:tcBorders>
              <w:bottom w:val="single" w:sz="8" w:space="0" w:color="000000"/>
              <w:right w:val="single" w:sz="8" w:space="0" w:color="000000"/>
            </w:tcBorders>
            <w:tcMar>
              <w:top w:w="100" w:type="dxa"/>
              <w:left w:w="100" w:type="dxa"/>
              <w:bottom w:w="100" w:type="dxa"/>
              <w:right w:w="100" w:type="dxa"/>
            </w:tcMar>
          </w:tcPr>
          <w:p w14:paraId="1B42B65D" w14:textId="77777777" w:rsidR="008B6E01" w:rsidRDefault="00A93D53">
            <w:pPr>
              <w:widowControl w:val="0"/>
              <w:spacing w:before="0" w:after="0" w:line="276" w:lineRule="auto"/>
            </w:pPr>
            <w:r>
              <w:rPr>
                <w:rFonts w:ascii="Calibri" w:eastAsia="Calibri" w:hAnsi="Calibri" w:cs="Calibri"/>
                <w:sz w:val="22"/>
                <w:highlight w:val="white"/>
              </w:rPr>
              <w:t>Copying unauthorized recording</w:t>
            </w:r>
          </w:p>
        </w:tc>
      </w:tr>
      <w:tr w:rsidR="008B6E01" w14:paraId="79474D01"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89586C" w14:textId="77777777" w:rsidR="008B6E01" w:rsidRDefault="00A93D53">
            <w:pPr>
              <w:widowControl w:val="0"/>
              <w:spacing w:before="0" w:after="0" w:line="276" w:lineRule="auto"/>
            </w:pPr>
            <w:r>
              <w:rPr>
                <w:rFonts w:ascii="Calibri" w:eastAsia="Calibri" w:hAnsi="Calibri" w:cs="Calibri"/>
                <w:sz w:val="22"/>
                <w:highlight w:val="white"/>
              </w:rPr>
              <w:t>S248PG(5)</w:t>
            </w:r>
          </w:p>
        </w:tc>
        <w:tc>
          <w:tcPr>
            <w:tcW w:w="5955" w:type="dxa"/>
            <w:tcBorders>
              <w:bottom w:val="single" w:sz="8" w:space="0" w:color="000000"/>
              <w:right w:val="single" w:sz="8" w:space="0" w:color="000000"/>
            </w:tcBorders>
            <w:tcMar>
              <w:top w:w="100" w:type="dxa"/>
              <w:left w:w="100" w:type="dxa"/>
              <w:bottom w:w="100" w:type="dxa"/>
              <w:right w:w="100" w:type="dxa"/>
            </w:tcMar>
          </w:tcPr>
          <w:p w14:paraId="1C11FDEE" w14:textId="77777777" w:rsidR="008B6E01" w:rsidRDefault="00A93D53">
            <w:pPr>
              <w:widowControl w:val="0"/>
              <w:spacing w:before="0" w:after="0" w:line="276" w:lineRule="auto"/>
            </w:pPr>
            <w:r>
              <w:rPr>
                <w:rFonts w:ascii="Calibri" w:eastAsia="Calibri" w:hAnsi="Calibri" w:cs="Calibri"/>
                <w:sz w:val="22"/>
              </w:rPr>
              <w:t>Unauthorised copying of exempt recording</w:t>
            </w:r>
          </w:p>
        </w:tc>
      </w:tr>
      <w:tr w:rsidR="008B6E01" w14:paraId="26F55E96"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620C62" w14:textId="77777777" w:rsidR="008B6E01" w:rsidRDefault="00A93D53">
            <w:pPr>
              <w:widowControl w:val="0"/>
              <w:spacing w:before="0" w:after="0" w:line="276" w:lineRule="auto"/>
            </w:pPr>
            <w:r>
              <w:rPr>
                <w:rFonts w:ascii="Calibri" w:eastAsia="Calibri" w:hAnsi="Calibri" w:cs="Calibri"/>
                <w:sz w:val="22"/>
                <w:highlight w:val="white"/>
              </w:rPr>
              <w:t>S248PH(5)</w:t>
            </w:r>
          </w:p>
        </w:tc>
        <w:tc>
          <w:tcPr>
            <w:tcW w:w="5955" w:type="dxa"/>
            <w:tcBorders>
              <w:bottom w:val="single" w:sz="8" w:space="0" w:color="000000"/>
              <w:right w:val="single" w:sz="8" w:space="0" w:color="000000"/>
            </w:tcBorders>
            <w:tcMar>
              <w:top w:w="100" w:type="dxa"/>
              <w:left w:w="100" w:type="dxa"/>
              <w:bottom w:w="100" w:type="dxa"/>
              <w:right w:w="100" w:type="dxa"/>
            </w:tcMar>
          </w:tcPr>
          <w:p w14:paraId="2F81F088" w14:textId="77777777" w:rsidR="008B6E01" w:rsidRDefault="00A93D53">
            <w:pPr>
              <w:widowControl w:val="0"/>
              <w:spacing w:before="0" w:after="0" w:line="276" w:lineRule="auto"/>
            </w:pPr>
            <w:r>
              <w:rPr>
                <w:rFonts w:ascii="Calibri" w:eastAsia="Calibri" w:hAnsi="Calibri" w:cs="Calibri"/>
                <w:sz w:val="22"/>
              </w:rPr>
              <w:t>Unauthorised copying of authorised sound recording for preparation for use in a soundtrack</w:t>
            </w:r>
          </w:p>
        </w:tc>
      </w:tr>
      <w:tr w:rsidR="008B6E01" w14:paraId="004D9991"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3A576B" w14:textId="77777777" w:rsidR="008B6E01" w:rsidRDefault="00A93D53">
            <w:pPr>
              <w:widowControl w:val="0"/>
              <w:spacing w:before="0" w:after="0" w:line="276" w:lineRule="auto"/>
            </w:pPr>
            <w:r>
              <w:rPr>
                <w:rFonts w:ascii="Calibri" w:eastAsia="Calibri" w:hAnsi="Calibri" w:cs="Calibri"/>
                <w:sz w:val="22"/>
                <w:highlight w:val="white"/>
              </w:rPr>
              <w:t>S248PI(5)</w:t>
            </w:r>
          </w:p>
        </w:tc>
        <w:tc>
          <w:tcPr>
            <w:tcW w:w="5955" w:type="dxa"/>
            <w:tcBorders>
              <w:bottom w:val="single" w:sz="8" w:space="0" w:color="000000"/>
              <w:right w:val="single" w:sz="8" w:space="0" w:color="000000"/>
            </w:tcBorders>
            <w:tcMar>
              <w:top w:w="100" w:type="dxa"/>
              <w:left w:w="100" w:type="dxa"/>
              <w:bottom w:w="100" w:type="dxa"/>
              <w:right w:w="100" w:type="dxa"/>
            </w:tcMar>
          </w:tcPr>
          <w:p w14:paraId="0F385CD2" w14:textId="77777777" w:rsidR="008B6E01" w:rsidRDefault="00A93D53">
            <w:pPr>
              <w:widowControl w:val="0"/>
              <w:spacing w:before="0" w:after="0" w:line="276" w:lineRule="auto"/>
            </w:pPr>
            <w:r>
              <w:rPr>
                <w:rFonts w:ascii="Calibri" w:eastAsia="Calibri" w:hAnsi="Calibri" w:cs="Calibri"/>
                <w:sz w:val="22"/>
              </w:rPr>
              <w:t>Selling, hiring or exposing for sale or hire unauthorised recording</w:t>
            </w:r>
          </w:p>
        </w:tc>
      </w:tr>
      <w:tr w:rsidR="008B6E01" w14:paraId="0BF5E5AF"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0908C6" w14:textId="77777777" w:rsidR="008B6E01" w:rsidRDefault="00A93D53">
            <w:pPr>
              <w:widowControl w:val="0"/>
              <w:spacing w:before="0" w:after="0" w:line="276" w:lineRule="auto"/>
            </w:pPr>
            <w:r>
              <w:rPr>
                <w:rFonts w:ascii="Calibri" w:eastAsia="Calibri" w:hAnsi="Calibri" w:cs="Calibri"/>
                <w:sz w:val="22"/>
                <w:highlight w:val="white"/>
              </w:rPr>
              <w:t>S248PJ(7)</w:t>
            </w:r>
          </w:p>
        </w:tc>
        <w:tc>
          <w:tcPr>
            <w:tcW w:w="5955" w:type="dxa"/>
            <w:tcBorders>
              <w:bottom w:val="single" w:sz="8" w:space="0" w:color="000000"/>
              <w:right w:val="single" w:sz="8" w:space="0" w:color="000000"/>
            </w:tcBorders>
            <w:tcMar>
              <w:top w:w="100" w:type="dxa"/>
              <w:left w:w="100" w:type="dxa"/>
              <w:bottom w:w="100" w:type="dxa"/>
              <w:right w:w="100" w:type="dxa"/>
            </w:tcMar>
          </w:tcPr>
          <w:p w14:paraId="41A25724" w14:textId="77777777" w:rsidR="008B6E01" w:rsidRDefault="00A93D53">
            <w:pPr>
              <w:widowControl w:val="0"/>
              <w:spacing w:before="0" w:after="0" w:line="276" w:lineRule="auto"/>
            </w:pPr>
            <w:r>
              <w:rPr>
                <w:rFonts w:ascii="Calibri" w:eastAsia="Calibri" w:hAnsi="Calibri" w:cs="Calibri"/>
                <w:sz w:val="22"/>
              </w:rPr>
              <w:t>Distributing unauthorised recording</w:t>
            </w:r>
          </w:p>
        </w:tc>
      </w:tr>
      <w:tr w:rsidR="008B6E01" w14:paraId="4AB8452D"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7929BC" w14:textId="77777777" w:rsidR="008B6E01" w:rsidRDefault="00A93D53">
            <w:pPr>
              <w:widowControl w:val="0"/>
              <w:spacing w:before="0" w:after="0" w:line="276" w:lineRule="auto"/>
            </w:pPr>
            <w:r>
              <w:rPr>
                <w:rFonts w:ascii="Calibri" w:eastAsia="Calibri" w:hAnsi="Calibri" w:cs="Calibri"/>
                <w:sz w:val="22"/>
                <w:highlight w:val="white"/>
              </w:rPr>
              <w:t>S248PK(5)</w:t>
            </w:r>
          </w:p>
        </w:tc>
        <w:tc>
          <w:tcPr>
            <w:tcW w:w="5955" w:type="dxa"/>
            <w:tcBorders>
              <w:bottom w:val="single" w:sz="8" w:space="0" w:color="000000"/>
              <w:right w:val="single" w:sz="8" w:space="0" w:color="000000"/>
            </w:tcBorders>
            <w:tcMar>
              <w:top w:w="100" w:type="dxa"/>
              <w:left w:w="100" w:type="dxa"/>
              <w:bottom w:w="100" w:type="dxa"/>
              <w:right w:w="100" w:type="dxa"/>
            </w:tcMar>
          </w:tcPr>
          <w:p w14:paraId="0A431639" w14:textId="77777777" w:rsidR="008B6E01" w:rsidRDefault="00A93D53">
            <w:pPr>
              <w:widowControl w:val="0"/>
              <w:spacing w:before="0" w:after="0" w:line="276" w:lineRule="auto"/>
            </w:pPr>
            <w:r>
              <w:rPr>
                <w:rFonts w:ascii="Calibri" w:eastAsia="Calibri" w:hAnsi="Calibri" w:cs="Calibri"/>
                <w:sz w:val="22"/>
              </w:rPr>
              <w:t>Commercial possession or import of unauthorised recording</w:t>
            </w:r>
          </w:p>
        </w:tc>
      </w:tr>
      <w:tr w:rsidR="008B6E01" w14:paraId="154DB8DA"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42993B" w14:textId="77777777" w:rsidR="008B6E01" w:rsidRDefault="00A93D53">
            <w:pPr>
              <w:widowControl w:val="0"/>
              <w:spacing w:before="0" w:after="0" w:line="276" w:lineRule="auto"/>
            </w:pPr>
            <w:r>
              <w:rPr>
                <w:rFonts w:ascii="Calibri" w:eastAsia="Calibri" w:hAnsi="Calibri" w:cs="Calibri"/>
                <w:sz w:val="22"/>
                <w:highlight w:val="white"/>
              </w:rPr>
              <w:t>S248PL(5)</w:t>
            </w:r>
          </w:p>
        </w:tc>
        <w:tc>
          <w:tcPr>
            <w:tcW w:w="5955" w:type="dxa"/>
            <w:tcBorders>
              <w:bottom w:val="single" w:sz="8" w:space="0" w:color="000000"/>
              <w:right w:val="single" w:sz="8" w:space="0" w:color="000000"/>
            </w:tcBorders>
            <w:tcMar>
              <w:top w:w="100" w:type="dxa"/>
              <w:left w:w="100" w:type="dxa"/>
              <w:bottom w:w="100" w:type="dxa"/>
              <w:right w:w="100" w:type="dxa"/>
            </w:tcMar>
          </w:tcPr>
          <w:p w14:paraId="07FD23A9" w14:textId="77777777" w:rsidR="008B6E01" w:rsidRDefault="00A93D53">
            <w:pPr>
              <w:widowControl w:val="0"/>
              <w:spacing w:before="0" w:after="0" w:line="276" w:lineRule="auto"/>
            </w:pPr>
            <w:r>
              <w:rPr>
                <w:rFonts w:ascii="Calibri" w:eastAsia="Calibri" w:hAnsi="Calibri" w:cs="Calibri"/>
                <w:sz w:val="22"/>
              </w:rPr>
              <w:t>Exhibiting unauthorised recording in public by way of trade</w:t>
            </w:r>
          </w:p>
        </w:tc>
      </w:tr>
      <w:tr w:rsidR="008B6E01" w14:paraId="12DC2B60"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B94E59" w14:textId="77777777" w:rsidR="008B6E01" w:rsidRDefault="00A93D53">
            <w:pPr>
              <w:widowControl w:val="0"/>
              <w:spacing w:before="0" w:after="0" w:line="276" w:lineRule="auto"/>
            </w:pPr>
            <w:r>
              <w:rPr>
                <w:rFonts w:ascii="Calibri" w:eastAsia="Calibri" w:hAnsi="Calibri" w:cs="Calibri"/>
                <w:sz w:val="22"/>
                <w:highlight w:val="white"/>
              </w:rPr>
              <w:t>S248PM(5)</w:t>
            </w:r>
          </w:p>
        </w:tc>
        <w:tc>
          <w:tcPr>
            <w:tcW w:w="5955" w:type="dxa"/>
            <w:tcBorders>
              <w:bottom w:val="single" w:sz="8" w:space="0" w:color="000000"/>
              <w:right w:val="single" w:sz="8" w:space="0" w:color="000000"/>
            </w:tcBorders>
            <w:tcMar>
              <w:top w:w="100" w:type="dxa"/>
              <w:left w:w="100" w:type="dxa"/>
              <w:bottom w:w="100" w:type="dxa"/>
              <w:right w:w="100" w:type="dxa"/>
            </w:tcMar>
          </w:tcPr>
          <w:p w14:paraId="1CFF8D4B" w14:textId="77777777" w:rsidR="008B6E01" w:rsidRDefault="00A93D53">
            <w:pPr>
              <w:widowControl w:val="0"/>
              <w:spacing w:before="0" w:after="0" w:line="276" w:lineRule="auto"/>
            </w:pPr>
            <w:r>
              <w:rPr>
                <w:rFonts w:ascii="Calibri" w:eastAsia="Calibri" w:hAnsi="Calibri" w:cs="Calibri"/>
                <w:sz w:val="22"/>
              </w:rPr>
              <w:t>Importing unauthorised recording for exhibition by way of trade</w:t>
            </w:r>
          </w:p>
        </w:tc>
      </w:tr>
      <w:tr w:rsidR="008B6E01" w14:paraId="0D1C78AD"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78AD09" w14:textId="77777777" w:rsidR="008B6E01" w:rsidRDefault="00A93D53">
            <w:pPr>
              <w:widowControl w:val="0"/>
              <w:spacing w:before="0" w:after="0" w:line="276" w:lineRule="auto"/>
            </w:pPr>
            <w:r>
              <w:rPr>
                <w:rFonts w:ascii="Calibri" w:eastAsia="Calibri" w:hAnsi="Calibri" w:cs="Calibri"/>
                <w:sz w:val="22"/>
                <w:highlight w:val="white"/>
              </w:rPr>
              <w:t>S248QC(5)</w:t>
            </w:r>
          </w:p>
        </w:tc>
        <w:tc>
          <w:tcPr>
            <w:tcW w:w="5955" w:type="dxa"/>
            <w:tcBorders>
              <w:bottom w:val="single" w:sz="8" w:space="0" w:color="000000"/>
              <w:right w:val="single" w:sz="8" w:space="0" w:color="000000"/>
            </w:tcBorders>
            <w:tcMar>
              <w:top w:w="100" w:type="dxa"/>
              <w:left w:w="100" w:type="dxa"/>
              <w:bottom w:w="100" w:type="dxa"/>
              <w:right w:w="100" w:type="dxa"/>
            </w:tcMar>
          </w:tcPr>
          <w:p w14:paraId="6792FDB8" w14:textId="77777777" w:rsidR="008B6E01" w:rsidRDefault="00A93D53">
            <w:pPr>
              <w:widowControl w:val="0"/>
              <w:spacing w:before="0" w:after="0" w:line="276" w:lineRule="auto"/>
            </w:pPr>
            <w:r>
              <w:rPr>
                <w:rFonts w:ascii="Calibri" w:eastAsia="Calibri" w:hAnsi="Calibri" w:cs="Calibri"/>
                <w:sz w:val="22"/>
              </w:rPr>
              <w:t>Copying unauthorised sound recording</w:t>
            </w:r>
          </w:p>
        </w:tc>
      </w:tr>
      <w:tr w:rsidR="008B6E01" w14:paraId="121EEEB7"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4E4FDB" w14:textId="77777777" w:rsidR="008B6E01" w:rsidRDefault="00A93D53">
            <w:pPr>
              <w:widowControl w:val="0"/>
              <w:spacing w:before="0" w:after="0" w:line="276" w:lineRule="auto"/>
            </w:pPr>
            <w:r>
              <w:rPr>
                <w:rFonts w:ascii="Calibri" w:eastAsia="Calibri" w:hAnsi="Calibri" w:cs="Calibri"/>
                <w:sz w:val="22"/>
                <w:highlight w:val="white"/>
              </w:rPr>
              <w:t>S248QD(5)</w:t>
            </w:r>
          </w:p>
        </w:tc>
        <w:tc>
          <w:tcPr>
            <w:tcW w:w="5955" w:type="dxa"/>
            <w:tcBorders>
              <w:bottom w:val="single" w:sz="8" w:space="0" w:color="000000"/>
              <w:right w:val="single" w:sz="8" w:space="0" w:color="000000"/>
            </w:tcBorders>
            <w:tcMar>
              <w:top w:w="100" w:type="dxa"/>
              <w:left w:w="100" w:type="dxa"/>
              <w:bottom w:w="100" w:type="dxa"/>
              <w:right w:w="100" w:type="dxa"/>
            </w:tcMar>
          </w:tcPr>
          <w:p w14:paraId="0F5A3138" w14:textId="77777777" w:rsidR="008B6E01" w:rsidRDefault="00A93D53">
            <w:pPr>
              <w:widowControl w:val="0"/>
              <w:spacing w:before="0" w:after="0" w:line="276" w:lineRule="auto"/>
            </w:pPr>
            <w:r>
              <w:rPr>
                <w:rFonts w:ascii="Calibri" w:eastAsia="Calibri" w:hAnsi="Calibri" w:cs="Calibri"/>
                <w:sz w:val="22"/>
              </w:rPr>
              <w:t>Selling, hiring or exposing for sale or hire unauthorised sound recording</w:t>
            </w:r>
          </w:p>
        </w:tc>
      </w:tr>
      <w:tr w:rsidR="008B6E01" w14:paraId="77FB1E77"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B88CE4" w14:textId="77777777" w:rsidR="008B6E01" w:rsidRDefault="00A93D53">
            <w:pPr>
              <w:widowControl w:val="0"/>
              <w:spacing w:before="0" w:after="0" w:line="276" w:lineRule="auto"/>
            </w:pPr>
            <w:r>
              <w:rPr>
                <w:rFonts w:ascii="Calibri" w:eastAsia="Calibri" w:hAnsi="Calibri" w:cs="Calibri"/>
                <w:sz w:val="22"/>
                <w:highlight w:val="white"/>
              </w:rPr>
              <w:t>S248QE(5)</w:t>
            </w:r>
          </w:p>
        </w:tc>
        <w:tc>
          <w:tcPr>
            <w:tcW w:w="5955" w:type="dxa"/>
            <w:tcBorders>
              <w:bottom w:val="single" w:sz="8" w:space="0" w:color="000000"/>
              <w:right w:val="single" w:sz="8" w:space="0" w:color="000000"/>
            </w:tcBorders>
            <w:tcMar>
              <w:top w:w="100" w:type="dxa"/>
              <w:left w:w="100" w:type="dxa"/>
              <w:bottom w:w="100" w:type="dxa"/>
              <w:right w:w="100" w:type="dxa"/>
            </w:tcMar>
          </w:tcPr>
          <w:p w14:paraId="0E01D954" w14:textId="77777777" w:rsidR="008B6E01" w:rsidRDefault="00A93D53">
            <w:pPr>
              <w:widowControl w:val="0"/>
              <w:spacing w:before="0" w:after="0" w:line="276" w:lineRule="auto"/>
            </w:pPr>
            <w:r>
              <w:rPr>
                <w:rFonts w:ascii="Calibri" w:eastAsia="Calibri" w:hAnsi="Calibri" w:cs="Calibri"/>
                <w:sz w:val="22"/>
              </w:rPr>
              <w:t>Distributing unauthorised sound recording in the course of trade</w:t>
            </w:r>
          </w:p>
        </w:tc>
      </w:tr>
      <w:tr w:rsidR="008B6E01" w14:paraId="3A91F517"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CCA8D9" w14:textId="77777777" w:rsidR="008B6E01" w:rsidRDefault="00A93D53">
            <w:pPr>
              <w:widowControl w:val="0"/>
              <w:spacing w:before="0" w:after="0" w:line="276" w:lineRule="auto"/>
            </w:pPr>
            <w:r>
              <w:rPr>
                <w:rFonts w:ascii="Calibri" w:eastAsia="Calibri" w:hAnsi="Calibri" w:cs="Calibri"/>
                <w:sz w:val="22"/>
                <w:highlight w:val="white"/>
              </w:rPr>
              <w:t>S248QF(5)</w:t>
            </w:r>
          </w:p>
        </w:tc>
        <w:tc>
          <w:tcPr>
            <w:tcW w:w="5955" w:type="dxa"/>
            <w:tcBorders>
              <w:bottom w:val="single" w:sz="8" w:space="0" w:color="000000"/>
              <w:right w:val="single" w:sz="8" w:space="0" w:color="000000"/>
            </w:tcBorders>
            <w:tcMar>
              <w:top w:w="100" w:type="dxa"/>
              <w:left w:w="100" w:type="dxa"/>
              <w:bottom w:w="100" w:type="dxa"/>
              <w:right w:w="100" w:type="dxa"/>
            </w:tcMar>
          </w:tcPr>
          <w:p w14:paraId="01768326" w14:textId="77777777" w:rsidR="008B6E01" w:rsidRDefault="00A93D53">
            <w:pPr>
              <w:widowControl w:val="0"/>
              <w:spacing w:before="0" w:after="0" w:line="276" w:lineRule="auto"/>
            </w:pPr>
            <w:r>
              <w:rPr>
                <w:rFonts w:ascii="Calibri" w:eastAsia="Calibri" w:hAnsi="Calibri" w:cs="Calibri"/>
                <w:sz w:val="22"/>
              </w:rPr>
              <w:t>Commercial possession or import of unauthorised sound recording</w:t>
            </w:r>
          </w:p>
        </w:tc>
      </w:tr>
      <w:tr w:rsidR="008B6E01" w14:paraId="1C9121C2"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74343F" w14:textId="77777777" w:rsidR="008B6E01" w:rsidRDefault="00A93D53">
            <w:pPr>
              <w:widowControl w:val="0"/>
              <w:spacing w:before="0" w:after="0" w:line="276" w:lineRule="auto"/>
            </w:pPr>
            <w:r>
              <w:rPr>
                <w:rFonts w:ascii="Calibri" w:eastAsia="Calibri" w:hAnsi="Calibri" w:cs="Calibri"/>
                <w:sz w:val="22"/>
                <w:highlight w:val="white"/>
              </w:rPr>
              <w:t>S248QG(5)</w:t>
            </w:r>
          </w:p>
        </w:tc>
        <w:tc>
          <w:tcPr>
            <w:tcW w:w="5955" w:type="dxa"/>
            <w:tcBorders>
              <w:bottom w:val="single" w:sz="8" w:space="0" w:color="000000"/>
              <w:right w:val="single" w:sz="8" w:space="0" w:color="000000"/>
            </w:tcBorders>
            <w:tcMar>
              <w:top w:w="100" w:type="dxa"/>
              <w:left w:w="100" w:type="dxa"/>
              <w:bottom w:w="100" w:type="dxa"/>
              <w:right w:w="100" w:type="dxa"/>
            </w:tcMar>
          </w:tcPr>
          <w:p w14:paraId="61051F5D" w14:textId="77777777" w:rsidR="008B6E01" w:rsidRDefault="00A93D53">
            <w:pPr>
              <w:widowControl w:val="0"/>
              <w:spacing w:before="0" w:after="0" w:line="276" w:lineRule="auto"/>
            </w:pPr>
            <w:r>
              <w:rPr>
                <w:rFonts w:ascii="Calibri" w:eastAsia="Calibri" w:hAnsi="Calibri" w:cs="Calibri"/>
                <w:sz w:val="22"/>
                <w:highlight w:val="white"/>
              </w:rPr>
              <w:t>Exhibiting unauthorized sound recording in public by way of trade</w:t>
            </w:r>
          </w:p>
        </w:tc>
      </w:tr>
      <w:tr w:rsidR="008B6E01" w14:paraId="40CFD3E8" w14:textId="77777777">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C8C355" w14:textId="77777777" w:rsidR="008B6E01" w:rsidRDefault="00A93D53">
            <w:pPr>
              <w:widowControl w:val="0"/>
              <w:spacing w:before="0" w:after="0" w:line="276" w:lineRule="auto"/>
            </w:pPr>
            <w:r>
              <w:rPr>
                <w:rFonts w:ascii="Calibri" w:eastAsia="Calibri" w:hAnsi="Calibri" w:cs="Calibri"/>
                <w:sz w:val="22"/>
                <w:highlight w:val="white"/>
              </w:rPr>
              <w:t>S248QH(5)</w:t>
            </w:r>
          </w:p>
        </w:tc>
        <w:tc>
          <w:tcPr>
            <w:tcW w:w="5955" w:type="dxa"/>
            <w:tcBorders>
              <w:bottom w:val="single" w:sz="8" w:space="0" w:color="000000"/>
              <w:right w:val="single" w:sz="8" w:space="0" w:color="000000"/>
            </w:tcBorders>
            <w:tcMar>
              <w:top w:w="100" w:type="dxa"/>
              <w:left w:w="100" w:type="dxa"/>
              <w:bottom w:w="100" w:type="dxa"/>
              <w:right w:w="100" w:type="dxa"/>
            </w:tcMar>
          </w:tcPr>
          <w:p w14:paraId="5EFA3BAA" w14:textId="77777777" w:rsidR="008B6E01" w:rsidRDefault="00A93D53">
            <w:pPr>
              <w:widowControl w:val="0"/>
              <w:spacing w:before="0" w:after="0" w:line="276" w:lineRule="auto"/>
            </w:pPr>
            <w:r>
              <w:rPr>
                <w:rFonts w:ascii="Calibri" w:eastAsia="Calibri" w:hAnsi="Calibri" w:cs="Calibri"/>
                <w:sz w:val="22"/>
                <w:highlight w:val="white"/>
              </w:rPr>
              <w:t>Importing infringing copy by way of trade</w:t>
            </w:r>
          </w:p>
        </w:tc>
      </w:tr>
    </w:tbl>
    <w:p w14:paraId="00013B62" w14:textId="720BB780" w:rsidR="008B6E01" w:rsidRPr="00F53CF5" w:rsidRDefault="002B3F1C">
      <w:pPr>
        <w:rPr>
          <w:rFonts w:asciiTheme="minorHAnsi" w:hAnsiTheme="minorHAnsi"/>
          <w:b/>
          <w:sz w:val="22"/>
          <w:szCs w:val="22"/>
        </w:rPr>
      </w:pPr>
      <w:bookmarkStart w:id="1" w:name="_GoBack"/>
      <w:r w:rsidRPr="00F53CF5">
        <w:rPr>
          <w:rFonts w:asciiTheme="minorHAnsi" w:hAnsiTheme="minorHAnsi"/>
          <w:b/>
          <w:sz w:val="22"/>
          <w:szCs w:val="22"/>
        </w:rPr>
        <w:t>Contact</w:t>
      </w:r>
    </w:p>
    <w:p w14:paraId="75CA6EDB" w14:textId="73625985" w:rsidR="002B3F1C" w:rsidRPr="00F53CF5" w:rsidRDefault="002B3F1C">
      <w:pPr>
        <w:rPr>
          <w:rFonts w:asciiTheme="minorHAnsi" w:hAnsiTheme="minorHAnsi"/>
          <w:sz w:val="22"/>
          <w:szCs w:val="22"/>
        </w:rPr>
      </w:pPr>
      <w:r w:rsidRPr="00F53CF5">
        <w:rPr>
          <w:rFonts w:asciiTheme="minorHAnsi" w:hAnsiTheme="minorHAnsi"/>
          <w:sz w:val="22"/>
          <w:szCs w:val="22"/>
        </w:rPr>
        <w:t>Trish Hepworth</w:t>
      </w:r>
    </w:p>
    <w:p w14:paraId="468B91BA" w14:textId="14662085" w:rsidR="002B3F1C" w:rsidRPr="00F53CF5" w:rsidRDefault="002B3F1C">
      <w:pPr>
        <w:rPr>
          <w:rFonts w:asciiTheme="minorHAnsi" w:hAnsiTheme="minorHAnsi"/>
          <w:sz w:val="22"/>
          <w:szCs w:val="22"/>
        </w:rPr>
      </w:pPr>
      <w:r w:rsidRPr="00F53CF5">
        <w:rPr>
          <w:rFonts w:asciiTheme="minorHAnsi" w:hAnsiTheme="minorHAnsi"/>
          <w:sz w:val="22"/>
          <w:szCs w:val="22"/>
        </w:rPr>
        <w:t>Executive Officer Australian Digital Alliance</w:t>
      </w:r>
    </w:p>
    <w:p w14:paraId="71BA5545" w14:textId="18F14C74" w:rsidR="002B3F1C" w:rsidRPr="00F53CF5" w:rsidRDefault="002B3F1C">
      <w:pPr>
        <w:rPr>
          <w:rFonts w:asciiTheme="minorHAnsi" w:hAnsiTheme="minorHAnsi"/>
          <w:sz w:val="22"/>
          <w:szCs w:val="22"/>
        </w:rPr>
      </w:pPr>
      <w:r w:rsidRPr="00F53CF5">
        <w:rPr>
          <w:rFonts w:asciiTheme="minorHAnsi" w:hAnsiTheme="minorHAnsi"/>
          <w:sz w:val="22"/>
          <w:szCs w:val="22"/>
        </w:rPr>
        <w:t>Copyright Adviser Australian Libraries Copyright Committee</w:t>
      </w:r>
    </w:p>
    <w:p w14:paraId="2CFA49E3" w14:textId="5CF9F276" w:rsidR="002B3F1C" w:rsidRPr="00F53CF5" w:rsidRDefault="002B3F1C">
      <w:pPr>
        <w:rPr>
          <w:rFonts w:asciiTheme="minorHAnsi" w:hAnsiTheme="minorHAnsi"/>
          <w:sz w:val="22"/>
          <w:szCs w:val="22"/>
        </w:rPr>
      </w:pPr>
      <w:proofErr w:type="gramStart"/>
      <w:r w:rsidRPr="00F53CF5">
        <w:rPr>
          <w:rFonts w:asciiTheme="minorHAnsi" w:hAnsiTheme="minorHAnsi"/>
          <w:sz w:val="22"/>
          <w:szCs w:val="22"/>
        </w:rPr>
        <w:t>c</w:t>
      </w:r>
      <w:proofErr w:type="gramEnd"/>
      <w:r w:rsidRPr="00F53CF5">
        <w:rPr>
          <w:rFonts w:asciiTheme="minorHAnsi" w:hAnsiTheme="minorHAnsi"/>
          <w:sz w:val="22"/>
          <w:szCs w:val="22"/>
        </w:rPr>
        <w:t>/- National Library of Australia</w:t>
      </w:r>
    </w:p>
    <w:p w14:paraId="7C0EC073" w14:textId="177A2BD6" w:rsidR="002B3F1C" w:rsidRPr="00F53CF5" w:rsidRDefault="002B3F1C">
      <w:pPr>
        <w:rPr>
          <w:rFonts w:asciiTheme="minorHAnsi" w:hAnsiTheme="minorHAnsi"/>
          <w:sz w:val="22"/>
          <w:szCs w:val="22"/>
        </w:rPr>
      </w:pPr>
      <w:r w:rsidRPr="00F53CF5">
        <w:rPr>
          <w:rFonts w:asciiTheme="minorHAnsi" w:hAnsiTheme="minorHAnsi"/>
          <w:sz w:val="22"/>
          <w:szCs w:val="22"/>
        </w:rPr>
        <w:t>Parkes Pl</w:t>
      </w:r>
    </w:p>
    <w:p w14:paraId="7BD78E47" w14:textId="57E7EB7E" w:rsidR="002B3F1C" w:rsidRPr="00F53CF5" w:rsidRDefault="002B3F1C">
      <w:pPr>
        <w:rPr>
          <w:rFonts w:asciiTheme="minorHAnsi" w:hAnsiTheme="minorHAnsi"/>
          <w:sz w:val="22"/>
          <w:szCs w:val="22"/>
        </w:rPr>
      </w:pPr>
      <w:r w:rsidRPr="00F53CF5">
        <w:rPr>
          <w:rFonts w:asciiTheme="minorHAnsi" w:hAnsiTheme="minorHAnsi"/>
          <w:sz w:val="22"/>
          <w:szCs w:val="22"/>
        </w:rPr>
        <w:lastRenderedPageBreak/>
        <w:t xml:space="preserve">Parkes </w:t>
      </w:r>
    </w:p>
    <w:p w14:paraId="44F075E7" w14:textId="41ACE08C" w:rsidR="002B3F1C" w:rsidRPr="00F53CF5" w:rsidRDefault="002B3F1C">
      <w:pPr>
        <w:rPr>
          <w:rFonts w:asciiTheme="minorHAnsi" w:hAnsiTheme="minorHAnsi"/>
          <w:sz w:val="22"/>
          <w:szCs w:val="22"/>
        </w:rPr>
      </w:pPr>
      <w:r w:rsidRPr="00F53CF5">
        <w:rPr>
          <w:rFonts w:asciiTheme="minorHAnsi" w:hAnsiTheme="minorHAnsi"/>
          <w:sz w:val="22"/>
          <w:szCs w:val="22"/>
        </w:rPr>
        <w:t>ACT 2600</w:t>
      </w:r>
    </w:p>
    <w:p w14:paraId="77423309" w14:textId="3F7C105A" w:rsidR="002B3F1C" w:rsidRPr="00F53CF5" w:rsidRDefault="002B3F1C">
      <w:pPr>
        <w:rPr>
          <w:rFonts w:asciiTheme="minorHAnsi" w:hAnsiTheme="minorHAnsi"/>
          <w:sz w:val="22"/>
          <w:szCs w:val="22"/>
        </w:rPr>
      </w:pPr>
      <w:r w:rsidRPr="00F53CF5">
        <w:rPr>
          <w:rFonts w:asciiTheme="minorHAnsi" w:hAnsiTheme="minorHAnsi"/>
          <w:sz w:val="22"/>
          <w:szCs w:val="22"/>
        </w:rPr>
        <w:t xml:space="preserve">Email: </w:t>
      </w:r>
      <w:hyperlink r:id="rId10" w:history="1">
        <w:r w:rsidRPr="00F53CF5">
          <w:rPr>
            <w:rStyle w:val="Hyperlink"/>
            <w:rFonts w:asciiTheme="minorHAnsi" w:hAnsiTheme="minorHAnsi"/>
            <w:sz w:val="22"/>
            <w:szCs w:val="22"/>
          </w:rPr>
          <w:t>info@digital.org.au</w:t>
        </w:r>
      </w:hyperlink>
    </w:p>
    <w:p w14:paraId="202F3380" w14:textId="158C136E" w:rsidR="002B3F1C" w:rsidRPr="00F53CF5" w:rsidRDefault="002B3F1C">
      <w:pPr>
        <w:rPr>
          <w:rFonts w:asciiTheme="minorHAnsi" w:hAnsiTheme="minorHAnsi"/>
          <w:sz w:val="22"/>
          <w:szCs w:val="22"/>
        </w:rPr>
      </w:pPr>
      <w:r w:rsidRPr="00F53CF5">
        <w:rPr>
          <w:rFonts w:asciiTheme="minorHAnsi" w:hAnsiTheme="minorHAnsi"/>
          <w:sz w:val="22"/>
          <w:szCs w:val="22"/>
        </w:rPr>
        <w:t>Telephone: (02) 6262 1102</w:t>
      </w:r>
    </w:p>
    <w:bookmarkEnd w:id="1"/>
    <w:p w14:paraId="4A4FD8BF" w14:textId="77777777" w:rsidR="008B6E01" w:rsidRPr="00F53CF5" w:rsidRDefault="008B6E01">
      <w:pPr>
        <w:rPr>
          <w:rFonts w:asciiTheme="minorHAnsi" w:hAnsiTheme="minorHAnsi"/>
          <w:sz w:val="22"/>
          <w:szCs w:val="22"/>
        </w:rPr>
      </w:pPr>
    </w:p>
    <w:sectPr w:rsidR="008B6E01" w:rsidRPr="00F53C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4AB43" w14:textId="77777777" w:rsidR="00E13539" w:rsidRDefault="00E13539">
      <w:pPr>
        <w:spacing w:before="0" w:after="0"/>
      </w:pPr>
      <w:r>
        <w:separator/>
      </w:r>
    </w:p>
  </w:endnote>
  <w:endnote w:type="continuationSeparator" w:id="0">
    <w:p w14:paraId="398DBAB4" w14:textId="77777777" w:rsidR="00E13539" w:rsidRDefault="00E135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AB6E4" w14:textId="77777777" w:rsidR="00E13539" w:rsidRDefault="00E13539">
      <w:pPr>
        <w:spacing w:before="0" w:after="0"/>
      </w:pPr>
      <w:r>
        <w:separator/>
      </w:r>
    </w:p>
  </w:footnote>
  <w:footnote w:type="continuationSeparator" w:id="0">
    <w:p w14:paraId="1E985CD0" w14:textId="77777777" w:rsidR="00E13539" w:rsidRDefault="00E13539">
      <w:pPr>
        <w:spacing w:before="0" w:after="0"/>
      </w:pPr>
      <w:r>
        <w:continuationSeparator/>
      </w:r>
    </w:p>
  </w:footnote>
  <w:footnote w:id="1">
    <w:p w14:paraId="3F2EFC7C" w14:textId="77777777" w:rsidR="008B6E01" w:rsidRPr="0051286B" w:rsidRDefault="00A93D53">
      <w:pPr>
        <w:spacing w:before="0" w:after="0"/>
        <w:rPr>
          <w:rFonts w:asciiTheme="minorHAnsi" w:hAnsiTheme="minorHAnsi"/>
          <w:sz w:val="20"/>
        </w:rPr>
      </w:pPr>
      <w:r w:rsidRPr="0051286B">
        <w:rPr>
          <w:rFonts w:asciiTheme="minorHAnsi" w:hAnsiTheme="minorHAnsi"/>
          <w:sz w:val="20"/>
          <w:vertAlign w:val="superscript"/>
        </w:rPr>
        <w:footnoteRef/>
      </w:r>
      <w:r w:rsidRPr="0051286B">
        <w:rPr>
          <w:rFonts w:asciiTheme="minorHAnsi" w:hAnsiTheme="minorHAnsi"/>
          <w:sz w:val="20"/>
        </w:rPr>
        <w:t xml:space="preserve"> IP at 2.1 referencing </w:t>
      </w:r>
      <w:r w:rsidRPr="0051286B">
        <w:rPr>
          <w:rFonts w:asciiTheme="minorHAnsi" w:hAnsiTheme="minorHAnsi"/>
          <w:i/>
          <w:color w:val="3D3A37"/>
          <w:sz w:val="20"/>
          <w:highlight w:val="white"/>
        </w:rPr>
        <w:t>Nationwide News v Wills</w:t>
      </w:r>
      <w:r w:rsidRPr="0051286B">
        <w:rPr>
          <w:rFonts w:asciiTheme="minorHAnsi" w:hAnsiTheme="minorHAnsi"/>
          <w:color w:val="3D3A37"/>
          <w:sz w:val="20"/>
          <w:highlight w:val="white"/>
        </w:rPr>
        <w:t> (1992) 177 CLR 1, 32 (Mason CJ); </w:t>
      </w:r>
      <w:r w:rsidRPr="0051286B">
        <w:rPr>
          <w:rFonts w:asciiTheme="minorHAnsi" w:hAnsiTheme="minorHAnsi"/>
          <w:i/>
          <w:color w:val="3D3A37"/>
          <w:sz w:val="20"/>
          <w:highlight w:val="white"/>
        </w:rPr>
        <w:t>Attorney-General (South Australia) v Corporation of the City of Adelaide</w:t>
      </w:r>
      <w:r w:rsidRPr="0051286B">
        <w:rPr>
          <w:rFonts w:asciiTheme="minorHAnsi" w:hAnsiTheme="minorHAnsi"/>
          <w:color w:val="3D3A37"/>
          <w:sz w:val="20"/>
          <w:highlight w:val="white"/>
        </w:rPr>
        <w:t> (2013) 249 CLR 1, 67 [151] and quoting Enid Campbell and Harry Whitmore, </w:t>
      </w:r>
      <w:r w:rsidRPr="0051286B">
        <w:rPr>
          <w:rFonts w:asciiTheme="minorHAnsi" w:hAnsiTheme="minorHAnsi"/>
          <w:i/>
          <w:color w:val="3D3A37"/>
          <w:sz w:val="20"/>
          <w:highlight w:val="white"/>
        </w:rPr>
        <w:t>Freedom in Australia</w:t>
      </w:r>
      <w:r w:rsidRPr="0051286B">
        <w:rPr>
          <w:rFonts w:asciiTheme="minorHAnsi" w:hAnsiTheme="minorHAnsi"/>
          <w:color w:val="3D3A37"/>
          <w:sz w:val="20"/>
          <w:highlight w:val="white"/>
        </w:rPr>
        <w:t> (Sydney University Press, 1966) 113.</w:t>
      </w:r>
    </w:p>
  </w:footnote>
  <w:footnote w:id="2">
    <w:p w14:paraId="6F9B8B1C" w14:textId="77777777" w:rsidR="008B6E01" w:rsidRPr="0051286B" w:rsidRDefault="00A93D53">
      <w:pPr>
        <w:spacing w:before="0" w:after="0"/>
        <w:rPr>
          <w:rFonts w:asciiTheme="minorHAnsi" w:hAnsiTheme="minorHAnsi"/>
          <w:sz w:val="20"/>
        </w:rPr>
      </w:pPr>
      <w:r w:rsidRPr="0051286B">
        <w:rPr>
          <w:rFonts w:asciiTheme="minorHAnsi" w:hAnsiTheme="minorHAnsi"/>
          <w:sz w:val="20"/>
          <w:vertAlign w:val="superscript"/>
        </w:rPr>
        <w:footnoteRef/>
      </w:r>
      <w:r w:rsidRPr="0051286B">
        <w:rPr>
          <w:rFonts w:asciiTheme="minorHAnsi" w:hAnsiTheme="minorHAnsi"/>
          <w:sz w:val="20"/>
        </w:rPr>
        <w:t xml:space="preserve"> See generally Lawrence </w:t>
      </w:r>
      <w:proofErr w:type="spellStart"/>
      <w:r w:rsidRPr="0051286B">
        <w:rPr>
          <w:rFonts w:asciiTheme="minorHAnsi" w:hAnsiTheme="minorHAnsi"/>
          <w:sz w:val="20"/>
        </w:rPr>
        <w:t>Lessig</w:t>
      </w:r>
      <w:proofErr w:type="spellEnd"/>
      <w:r w:rsidRPr="0051286B">
        <w:rPr>
          <w:rFonts w:asciiTheme="minorHAnsi" w:hAnsiTheme="minorHAnsi"/>
          <w:sz w:val="20"/>
        </w:rPr>
        <w:t xml:space="preserve">, </w:t>
      </w:r>
      <w:r w:rsidRPr="0051286B">
        <w:rPr>
          <w:rFonts w:asciiTheme="minorHAnsi" w:hAnsiTheme="minorHAnsi"/>
          <w:i/>
          <w:sz w:val="20"/>
        </w:rPr>
        <w:t>Free Culture: How Big Media Uses Technology and the Law to Lock Down Culture and Control Creativity</w:t>
      </w:r>
      <w:r w:rsidRPr="0051286B">
        <w:rPr>
          <w:rFonts w:asciiTheme="minorHAnsi" w:hAnsiTheme="minorHAnsi"/>
          <w:sz w:val="20"/>
        </w:rPr>
        <w:t xml:space="preserve"> (2004)</w:t>
      </w:r>
    </w:p>
  </w:footnote>
  <w:footnote w:id="3">
    <w:p w14:paraId="1B361D1D" w14:textId="77777777" w:rsidR="00364B2B" w:rsidRPr="0051286B" w:rsidRDefault="00364B2B" w:rsidP="00364B2B">
      <w:pPr>
        <w:pStyle w:val="FootnoteText"/>
        <w:rPr>
          <w:rFonts w:asciiTheme="minorHAnsi" w:hAnsiTheme="minorHAnsi"/>
          <w:lang w:val="en-AU"/>
        </w:rPr>
      </w:pPr>
      <w:r w:rsidRPr="0051286B">
        <w:rPr>
          <w:rStyle w:val="FootnoteReference"/>
          <w:rFonts w:asciiTheme="minorHAnsi" w:hAnsiTheme="minorHAnsi"/>
        </w:rPr>
        <w:footnoteRef/>
      </w:r>
      <w:r w:rsidRPr="0051286B">
        <w:rPr>
          <w:rFonts w:asciiTheme="minorHAnsi" w:hAnsiTheme="minorHAnsi"/>
        </w:rPr>
        <w:t xml:space="preserve"> </w:t>
      </w:r>
      <w:r w:rsidRPr="0051286B">
        <w:rPr>
          <w:rFonts w:asciiTheme="minorHAnsi" w:hAnsiTheme="minorHAnsi"/>
          <w:lang w:val="en-AU"/>
        </w:rPr>
        <w:t xml:space="preserve">For discussion see R Burrell and J </w:t>
      </w:r>
      <w:proofErr w:type="spellStart"/>
      <w:r w:rsidRPr="0051286B">
        <w:rPr>
          <w:rFonts w:asciiTheme="minorHAnsi" w:hAnsiTheme="minorHAnsi"/>
          <w:lang w:val="en-AU"/>
        </w:rPr>
        <w:t>Stellios</w:t>
      </w:r>
      <w:proofErr w:type="spellEnd"/>
      <w:r w:rsidRPr="0051286B">
        <w:rPr>
          <w:rFonts w:asciiTheme="minorHAnsi" w:hAnsiTheme="minorHAnsi"/>
          <w:lang w:val="en-AU"/>
        </w:rPr>
        <w:t>, ‘</w:t>
      </w:r>
      <w:r w:rsidRPr="0051286B">
        <w:rPr>
          <w:rFonts w:asciiTheme="minorHAnsi" w:hAnsiTheme="minorHAnsi"/>
        </w:rPr>
        <w:t>Copyright and Freedom of Political Communication in Australia</w:t>
      </w:r>
      <w:r w:rsidRPr="0051286B">
        <w:rPr>
          <w:rFonts w:asciiTheme="minorHAnsi" w:hAnsiTheme="minorHAnsi"/>
          <w:lang w:val="en-AU"/>
        </w:rPr>
        <w:t>’</w:t>
      </w:r>
      <w:r w:rsidRPr="0051286B">
        <w:rPr>
          <w:rFonts w:asciiTheme="minorHAnsi" w:hAnsiTheme="minorHAnsi"/>
        </w:rPr>
        <w:t xml:space="preserve"> in </w:t>
      </w:r>
      <w:r w:rsidRPr="0051286B">
        <w:rPr>
          <w:rFonts w:asciiTheme="minorHAnsi" w:hAnsiTheme="minorHAnsi"/>
          <w:lang w:val="en-AU"/>
        </w:rPr>
        <w:t xml:space="preserve">J </w:t>
      </w:r>
      <w:r w:rsidRPr="0051286B">
        <w:rPr>
          <w:rFonts w:asciiTheme="minorHAnsi" w:hAnsiTheme="minorHAnsi"/>
        </w:rPr>
        <w:t xml:space="preserve">Griffiths and </w:t>
      </w:r>
      <w:r w:rsidRPr="0051286B">
        <w:rPr>
          <w:rFonts w:asciiTheme="minorHAnsi" w:hAnsiTheme="minorHAnsi"/>
          <w:lang w:val="en-AU"/>
        </w:rPr>
        <w:t xml:space="preserve">U </w:t>
      </w:r>
      <w:proofErr w:type="spellStart"/>
      <w:r w:rsidRPr="0051286B">
        <w:rPr>
          <w:rFonts w:asciiTheme="minorHAnsi" w:hAnsiTheme="minorHAnsi"/>
        </w:rPr>
        <w:t>Suthersanen</w:t>
      </w:r>
      <w:proofErr w:type="spellEnd"/>
      <w:r w:rsidRPr="0051286B">
        <w:rPr>
          <w:rFonts w:asciiTheme="minorHAnsi" w:hAnsiTheme="minorHAnsi"/>
          <w:lang w:val="en-AU"/>
        </w:rPr>
        <w:t xml:space="preserve">, </w:t>
      </w:r>
      <w:proofErr w:type="spellStart"/>
      <w:r w:rsidRPr="0051286B">
        <w:rPr>
          <w:rFonts w:asciiTheme="minorHAnsi" w:hAnsiTheme="minorHAnsi"/>
        </w:rPr>
        <w:t>eds</w:t>
      </w:r>
      <w:proofErr w:type="spellEnd"/>
      <w:r w:rsidRPr="0051286B">
        <w:rPr>
          <w:rFonts w:asciiTheme="minorHAnsi" w:hAnsiTheme="minorHAnsi"/>
        </w:rPr>
        <w:t xml:space="preserve">, </w:t>
      </w:r>
      <w:r w:rsidRPr="0051286B">
        <w:rPr>
          <w:rFonts w:asciiTheme="minorHAnsi" w:hAnsiTheme="minorHAnsi"/>
          <w:i/>
        </w:rPr>
        <w:t>Copyright and Freedom of Expression: Comparative and International Analyses</w:t>
      </w:r>
      <w:r w:rsidRPr="0051286B">
        <w:rPr>
          <w:rFonts w:asciiTheme="minorHAnsi" w:hAnsiTheme="minorHAnsi"/>
          <w:lang w:val="en-AU"/>
        </w:rPr>
        <w:t xml:space="preserve">, </w:t>
      </w:r>
      <w:r w:rsidRPr="0051286B">
        <w:rPr>
          <w:rFonts w:asciiTheme="minorHAnsi" w:hAnsiTheme="minorHAnsi"/>
        </w:rPr>
        <w:t xml:space="preserve">Oxford University Press, </w:t>
      </w:r>
      <w:r w:rsidRPr="0051286B">
        <w:rPr>
          <w:rFonts w:asciiTheme="minorHAnsi" w:hAnsiTheme="minorHAnsi"/>
          <w:lang w:val="en-AU"/>
        </w:rPr>
        <w:t xml:space="preserve">Oxford, </w:t>
      </w:r>
      <w:r w:rsidRPr="0051286B">
        <w:rPr>
          <w:rFonts w:asciiTheme="minorHAnsi" w:hAnsiTheme="minorHAnsi"/>
        </w:rPr>
        <w:t>2005)</w:t>
      </w:r>
    </w:p>
  </w:footnote>
  <w:footnote w:id="4">
    <w:p w14:paraId="3D349C9F" w14:textId="2F1D1CB2" w:rsidR="008B6E01" w:rsidRPr="00287A09" w:rsidRDefault="00A93D53">
      <w:pPr>
        <w:spacing w:before="0" w:after="0"/>
        <w:rPr>
          <w:rFonts w:asciiTheme="minorHAnsi" w:hAnsiTheme="minorHAnsi"/>
          <w:sz w:val="20"/>
        </w:rPr>
      </w:pPr>
      <w:r w:rsidRPr="0051286B">
        <w:rPr>
          <w:rFonts w:asciiTheme="minorHAnsi" w:hAnsiTheme="minorHAnsi"/>
          <w:sz w:val="20"/>
          <w:vertAlign w:val="superscript"/>
        </w:rPr>
        <w:footnoteRef/>
      </w:r>
      <w:r w:rsidR="0051286B" w:rsidRPr="0051286B">
        <w:rPr>
          <w:rFonts w:asciiTheme="minorHAnsi" w:hAnsiTheme="minorHAnsi"/>
          <w:sz w:val="20"/>
        </w:rPr>
        <w:t xml:space="preserve">R </w:t>
      </w:r>
      <w:proofErr w:type="spellStart"/>
      <w:r w:rsidR="0051286B" w:rsidRPr="0051286B">
        <w:rPr>
          <w:rFonts w:asciiTheme="minorHAnsi" w:hAnsiTheme="minorHAnsi"/>
          <w:sz w:val="20"/>
        </w:rPr>
        <w:t>C</w:t>
      </w:r>
      <w:r w:rsidR="00A8643E" w:rsidRPr="0051286B">
        <w:rPr>
          <w:rFonts w:asciiTheme="minorHAnsi" w:hAnsiTheme="minorHAnsi"/>
          <w:sz w:val="20"/>
        </w:rPr>
        <w:t>r</w:t>
      </w:r>
      <w:r w:rsidRPr="0051286B">
        <w:rPr>
          <w:rFonts w:asciiTheme="minorHAnsi" w:hAnsiTheme="minorHAnsi"/>
          <w:sz w:val="20"/>
        </w:rPr>
        <w:t>oucher</w:t>
      </w:r>
      <w:proofErr w:type="spellEnd"/>
      <w:r w:rsidRPr="0051286B">
        <w:rPr>
          <w:rFonts w:asciiTheme="minorHAnsi" w:hAnsiTheme="minorHAnsi"/>
          <w:sz w:val="20"/>
        </w:rPr>
        <w:t xml:space="preserve"> R </w:t>
      </w:r>
      <w:r w:rsidR="00287A09" w:rsidRPr="0051286B">
        <w:rPr>
          <w:rFonts w:asciiTheme="minorHAnsi" w:hAnsiTheme="minorHAnsi"/>
          <w:i/>
          <w:sz w:val="20"/>
        </w:rPr>
        <w:t>ALRC Inquiry into Freedoms</w:t>
      </w:r>
      <w:r w:rsidR="00287A09" w:rsidRPr="0051286B">
        <w:rPr>
          <w:rFonts w:asciiTheme="minorHAnsi" w:hAnsiTheme="minorHAnsi"/>
          <w:sz w:val="20"/>
        </w:rPr>
        <w:t xml:space="preserve"> from </w:t>
      </w:r>
      <w:r w:rsidR="00287A09" w:rsidRPr="0051286B">
        <w:rPr>
          <w:rFonts w:asciiTheme="minorHAnsi" w:hAnsiTheme="minorHAnsi"/>
          <w:i/>
          <w:sz w:val="20"/>
        </w:rPr>
        <w:t>Free Speech 2014 Symposium Papers</w:t>
      </w:r>
      <w:r w:rsidR="00287A09" w:rsidRPr="0051286B">
        <w:rPr>
          <w:rFonts w:asciiTheme="minorHAnsi" w:hAnsiTheme="minorHAnsi"/>
          <w:sz w:val="20"/>
        </w:rPr>
        <w:t xml:space="preserve"> Australian Human Rights Commission (2014) available at </w:t>
      </w:r>
      <w:hyperlink r:id="rId1">
        <w:r w:rsidRPr="0051286B">
          <w:rPr>
            <w:rFonts w:asciiTheme="minorHAnsi" w:hAnsiTheme="minorHAnsi"/>
            <w:color w:val="0000FF"/>
            <w:sz w:val="20"/>
            <w:u w:val="single"/>
          </w:rPr>
          <w:t>https://www.humanrights.gov.au/our-work/rights-and-freedoms/publications/free-speech-2014-symposium-papers</w:t>
        </w:r>
      </w:hyperlink>
      <w:r w:rsidRPr="00287A09">
        <w:rPr>
          <w:rFonts w:asciiTheme="minorHAnsi" w:hAnsiTheme="minorHAnsi"/>
          <w:sz w:val="20"/>
        </w:rPr>
        <w:t xml:space="preserve"> </w:t>
      </w:r>
    </w:p>
  </w:footnote>
  <w:footnote w:id="5">
    <w:p w14:paraId="26694586" w14:textId="77777777" w:rsidR="008B6E01" w:rsidRPr="00287A09" w:rsidRDefault="00A93D53">
      <w:pPr>
        <w:spacing w:before="0" w:after="0"/>
        <w:rPr>
          <w:rFonts w:asciiTheme="minorHAnsi" w:hAnsiTheme="minorHAnsi"/>
          <w:sz w:val="20"/>
        </w:rPr>
      </w:pPr>
      <w:r w:rsidRPr="00287A09">
        <w:rPr>
          <w:rFonts w:asciiTheme="minorHAnsi" w:hAnsiTheme="minorHAnsi"/>
          <w:sz w:val="20"/>
          <w:vertAlign w:val="superscript"/>
        </w:rPr>
        <w:footnoteRef/>
      </w:r>
      <w:r w:rsidRPr="00287A09">
        <w:rPr>
          <w:rFonts w:asciiTheme="minorHAnsi" w:hAnsiTheme="minorHAnsi"/>
          <w:sz w:val="20"/>
        </w:rPr>
        <w:t xml:space="preserve"> The right is of course not recognised as a positive right but only a restraint on the legislative powers of the Commonwealth see </w:t>
      </w:r>
      <w:r w:rsidRPr="00287A09">
        <w:rPr>
          <w:rFonts w:asciiTheme="minorHAnsi" w:hAnsiTheme="minorHAnsi"/>
          <w:i/>
          <w:color w:val="3D3A37"/>
          <w:sz w:val="20"/>
          <w:highlight w:val="white"/>
        </w:rPr>
        <w:t>Lange v Australian Broadcasting Corporation</w:t>
      </w:r>
      <w:r w:rsidRPr="00287A09">
        <w:rPr>
          <w:rFonts w:asciiTheme="minorHAnsi" w:hAnsiTheme="minorHAnsi"/>
          <w:color w:val="3D3A37"/>
          <w:sz w:val="20"/>
          <w:highlight w:val="white"/>
        </w:rPr>
        <w:t> (1997) 189 CLR 520, 560.</w:t>
      </w:r>
    </w:p>
  </w:footnote>
  <w:footnote w:id="6">
    <w:p w14:paraId="2F9CDD47" w14:textId="77777777" w:rsidR="008B6E01" w:rsidRPr="00287A09" w:rsidRDefault="00A93D53">
      <w:pPr>
        <w:spacing w:before="0" w:after="0"/>
        <w:rPr>
          <w:rFonts w:asciiTheme="minorHAnsi" w:hAnsiTheme="minorHAnsi"/>
          <w:sz w:val="20"/>
        </w:rPr>
      </w:pPr>
      <w:r w:rsidRPr="00287A09">
        <w:rPr>
          <w:rFonts w:asciiTheme="minorHAnsi" w:hAnsiTheme="minorHAnsi"/>
          <w:sz w:val="20"/>
          <w:vertAlign w:val="superscript"/>
        </w:rPr>
        <w:footnoteRef/>
      </w:r>
      <w:r w:rsidRPr="00287A09">
        <w:rPr>
          <w:rFonts w:asciiTheme="minorHAnsi" w:hAnsiTheme="minorHAnsi"/>
          <w:sz w:val="20"/>
        </w:rPr>
        <w:t xml:space="preserve"> J Ireland, ‘Liberal complaints see </w:t>
      </w:r>
      <w:proofErr w:type="spellStart"/>
      <w:r w:rsidRPr="00287A09">
        <w:rPr>
          <w:rFonts w:asciiTheme="minorHAnsi" w:hAnsiTheme="minorHAnsi"/>
          <w:sz w:val="20"/>
        </w:rPr>
        <w:t>Labor</w:t>
      </w:r>
      <w:proofErr w:type="spellEnd"/>
      <w:r w:rsidRPr="00287A09">
        <w:rPr>
          <w:rFonts w:asciiTheme="minorHAnsi" w:hAnsiTheme="minorHAnsi"/>
          <w:sz w:val="20"/>
        </w:rPr>
        <w:t xml:space="preserve"> parody ad removed from YouTube’, </w:t>
      </w:r>
      <w:r w:rsidRPr="00287A09">
        <w:rPr>
          <w:rFonts w:asciiTheme="minorHAnsi" w:hAnsiTheme="minorHAnsi"/>
          <w:i/>
          <w:sz w:val="20"/>
        </w:rPr>
        <w:t>Sydney Morning Herald</w:t>
      </w:r>
      <w:r w:rsidRPr="00287A09">
        <w:rPr>
          <w:rFonts w:asciiTheme="minorHAnsi" w:hAnsiTheme="minorHAnsi"/>
          <w:sz w:val="20"/>
        </w:rPr>
        <w:t>, 7 August 2013.</w:t>
      </w:r>
    </w:p>
  </w:footnote>
  <w:footnote w:id="7">
    <w:p w14:paraId="2FE1BE17" w14:textId="77777777" w:rsidR="008B6E01" w:rsidRPr="00287A09" w:rsidRDefault="00A93D53">
      <w:pPr>
        <w:spacing w:before="0" w:after="0"/>
        <w:rPr>
          <w:rFonts w:asciiTheme="minorHAnsi" w:hAnsiTheme="minorHAnsi"/>
          <w:sz w:val="20"/>
        </w:rPr>
      </w:pPr>
      <w:r w:rsidRPr="00287A09">
        <w:rPr>
          <w:rFonts w:asciiTheme="minorHAnsi" w:hAnsiTheme="minorHAnsi"/>
          <w:sz w:val="20"/>
          <w:vertAlign w:val="superscript"/>
        </w:rPr>
        <w:footnoteRef/>
      </w:r>
      <w:r w:rsidRPr="00287A09">
        <w:rPr>
          <w:rFonts w:asciiTheme="minorHAnsi" w:hAnsiTheme="minorHAnsi"/>
          <w:sz w:val="20"/>
        </w:rPr>
        <w:t xml:space="preserve"> R Willingham, ‘Liberal ad pulled from YouTube over copyright breach’, </w:t>
      </w:r>
      <w:r w:rsidRPr="00287A09">
        <w:rPr>
          <w:rFonts w:asciiTheme="minorHAnsi" w:hAnsiTheme="minorHAnsi"/>
          <w:i/>
          <w:sz w:val="20"/>
        </w:rPr>
        <w:t>The Age</w:t>
      </w:r>
      <w:r w:rsidRPr="00287A09">
        <w:rPr>
          <w:rFonts w:asciiTheme="minorHAnsi" w:hAnsiTheme="minorHAnsi"/>
          <w:sz w:val="20"/>
        </w:rPr>
        <w:t>, 6 February 2014.</w:t>
      </w:r>
    </w:p>
  </w:footnote>
  <w:footnote w:id="8">
    <w:p w14:paraId="02465545" w14:textId="6DCE0587" w:rsidR="008B6E01" w:rsidRPr="00287A09" w:rsidRDefault="00A93D53">
      <w:pPr>
        <w:spacing w:before="0" w:after="0"/>
        <w:rPr>
          <w:rFonts w:asciiTheme="minorHAnsi" w:hAnsiTheme="minorHAnsi"/>
          <w:sz w:val="20"/>
        </w:rPr>
      </w:pPr>
      <w:r w:rsidRPr="00287A09">
        <w:rPr>
          <w:rFonts w:asciiTheme="minorHAnsi" w:hAnsiTheme="minorHAnsi"/>
          <w:sz w:val="20"/>
          <w:vertAlign w:val="superscript"/>
        </w:rPr>
        <w:footnoteRef/>
      </w:r>
      <w:r w:rsidRPr="00287A09">
        <w:rPr>
          <w:rFonts w:asciiTheme="minorHAnsi" w:hAnsiTheme="minorHAnsi"/>
          <w:sz w:val="20"/>
        </w:rPr>
        <w:t xml:space="preserve"> A Bruns, ‘Blogs, Wikipedia, Second Life and Beyond: From Production to </w:t>
      </w:r>
      <w:proofErr w:type="spellStart"/>
      <w:r w:rsidRPr="00287A09">
        <w:rPr>
          <w:rFonts w:asciiTheme="minorHAnsi" w:hAnsiTheme="minorHAnsi"/>
          <w:sz w:val="20"/>
        </w:rPr>
        <w:t>Produsage</w:t>
      </w:r>
      <w:proofErr w:type="spellEnd"/>
      <w:r w:rsidRPr="00287A09">
        <w:rPr>
          <w:rFonts w:asciiTheme="minorHAnsi" w:hAnsiTheme="minorHAnsi"/>
          <w:sz w:val="20"/>
        </w:rPr>
        <w:t xml:space="preserve">’ </w:t>
      </w:r>
      <w:r w:rsidR="0051286B">
        <w:rPr>
          <w:rFonts w:asciiTheme="minorHAnsi" w:hAnsiTheme="minorHAnsi"/>
          <w:sz w:val="20"/>
        </w:rPr>
        <w:t>(2008)</w:t>
      </w:r>
    </w:p>
  </w:footnote>
  <w:footnote w:id="9">
    <w:p w14:paraId="7032D5E4" w14:textId="3FA91DCB" w:rsidR="008B6E01" w:rsidRPr="00287A09" w:rsidRDefault="00A93D53">
      <w:pPr>
        <w:spacing w:before="0" w:after="0"/>
        <w:rPr>
          <w:rFonts w:asciiTheme="minorHAnsi" w:hAnsiTheme="minorHAnsi"/>
          <w:sz w:val="20"/>
        </w:rPr>
      </w:pPr>
      <w:r w:rsidRPr="00287A09">
        <w:rPr>
          <w:rFonts w:asciiTheme="minorHAnsi" w:hAnsiTheme="minorHAnsi"/>
          <w:sz w:val="20"/>
          <w:vertAlign w:val="superscript"/>
        </w:rPr>
        <w:footnoteRef/>
      </w:r>
      <w:r w:rsidR="00287A09">
        <w:rPr>
          <w:rFonts w:asciiTheme="minorHAnsi" w:hAnsiTheme="minorHAnsi"/>
          <w:sz w:val="20"/>
        </w:rPr>
        <w:t xml:space="preserve"> See generally Division V Subdivision E </w:t>
      </w:r>
      <w:r w:rsidR="00287A09">
        <w:rPr>
          <w:rFonts w:asciiTheme="minorHAnsi" w:hAnsiTheme="minorHAnsi"/>
          <w:i/>
          <w:sz w:val="20"/>
        </w:rPr>
        <w:t xml:space="preserve">Copyright Act 1968, </w:t>
      </w:r>
      <w:r w:rsidR="00287A09">
        <w:rPr>
          <w:rFonts w:asciiTheme="minorHAnsi" w:hAnsiTheme="minorHAnsi"/>
          <w:sz w:val="20"/>
        </w:rPr>
        <w:t xml:space="preserve"> in particular s132APC (Circumventing an access control technological protections measure).There are additionally civil actions available to rights holders, see generally Division 2A, Subdivision A </w:t>
      </w:r>
      <w:r w:rsidR="00287A09">
        <w:rPr>
          <w:rFonts w:asciiTheme="minorHAnsi" w:hAnsiTheme="minorHAnsi"/>
          <w:i/>
          <w:sz w:val="20"/>
        </w:rPr>
        <w:t xml:space="preserve">Copyright Act 1968 </w:t>
      </w:r>
      <w:r w:rsidR="00287A09">
        <w:rPr>
          <w:rFonts w:asciiTheme="minorHAnsi" w:hAnsiTheme="minorHAnsi"/>
          <w:sz w:val="20"/>
        </w:rPr>
        <w:t xml:space="preserve">in particular s116AN </w:t>
      </w:r>
    </w:p>
  </w:footnote>
  <w:footnote w:id="10">
    <w:p w14:paraId="69447DF1" w14:textId="26F94D4C" w:rsidR="008B6E01" w:rsidRPr="003732C1" w:rsidRDefault="00A93D53">
      <w:pPr>
        <w:spacing w:before="0" w:after="0"/>
        <w:rPr>
          <w:rFonts w:asciiTheme="minorHAnsi" w:hAnsiTheme="minorHAnsi"/>
          <w:sz w:val="20"/>
        </w:rPr>
      </w:pPr>
      <w:r w:rsidRPr="003732C1">
        <w:rPr>
          <w:rFonts w:asciiTheme="minorHAnsi" w:hAnsiTheme="minorHAnsi"/>
          <w:sz w:val="20"/>
          <w:vertAlign w:val="superscript"/>
        </w:rPr>
        <w:footnoteRef/>
      </w:r>
      <w:r w:rsidRPr="003732C1">
        <w:rPr>
          <w:rFonts w:asciiTheme="minorHAnsi" w:hAnsiTheme="minorHAnsi"/>
          <w:sz w:val="20"/>
        </w:rPr>
        <w:t xml:space="preserve"> </w:t>
      </w:r>
      <w:r w:rsidR="00AD4AC2" w:rsidRPr="003732C1">
        <w:rPr>
          <w:rFonts w:asciiTheme="minorHAnsi" w:hAnsiTheme="minorHAnsi"/>
          <w:sz w:val="20"/>
        </w:rPr>
        <w:t xml:space="preserve">Some exceptions are contained in the criminal offence provision (132APC) </w:t>
      </w:r>
      <w:r w:rsidR="003732C1" w:rsidRPr="003732C1">
        <w:rPr>
          <w:rFonts w:asciiTheme="minorHAnsi" w:hAnsiTheme="minorHAnsi"/>
          <w:sz w:val="20"/>
        </w:rPr>
        <w:t xml:space="preserve">and Schedule 10A of the </w:t>
      </w:r>
      <w:r w:rsidR="003732C1" w:rsidRPr="003732C1">
        <w:rPr>
          <w:rFonts w:asciiTheme="minorHAnsi" w:hAnsiTheme="minorHAnsi"/>
          <w:i/>
          <w:sz w:val="20"/>
        </w:rPr>
        <w:t xml:space="preserve">Copyright Regulations 1969 </w:t>
      </w:r>
      <w:r w:rsidR="003732C1" w:rsidRPr="003732C1">
        <w:rPr>
          <w:rFonts w:asciiTheme="minorHAnsi" w:hAnsiTheme="minorHAnsi"/>
          <w:sz w:val="20"/>
        </w:rPr>
        <w:t xml:space="preserve">sets out the other exceptions. </w:t>
      </w:r>
    </w:p>
  </w:footnote>
  <w:footnote w:id="11">
    <w:p w14:paraId="17DE91F5" w14:textId="3F0E4888" w:rsidR="00287A09" w:rsidRPr="003732C1" w:rsidRDefault="00287A09" w:rsidP="00287A09">
      <w:pPr>
        <w:spacing w:before="0" w:after="0"/>
        <w:rPr>
          <w:rFonts w:asciiTheme="minorHAnsi" w:hAnsiTheme="minorHAnsi"/>
          <w:sz w:val="20"/>
        </w:rPr>
      </w:pPr>
      <w:r w:rsidRPr="003732C1">
        <w:rPr>
          <w:rFonts w:asciiTheme="minorHAnsi" w:hAnsiTheme="minorHAnsi"/>
          <w:sz w:val="20"/>
          <w:vertAlign w:val="superscript"/>
        </w:rPr>
        <w:footnoteRef/>
      </w:r>
      <w:r w:rsidRPr="003732C1">
        <w:rPr>
          <w:rFonts w:asciiTheme="minorHAnsi" w:hAnsiTheme="minorHAnsi"/>
          <w:sz w:val="20"/>
        </w:rPr>
        <w:t xml:space="preserve"> </w:t>
      </w:r>
      <w:r w:rsidR="003732C1" w:rsidRPr="003732C1">
        <w:rPr>
          <w:rFonts w:asciiTheme="minorHAnsi" w:hAnsiTheme="minorHAnsi"/>
          <w:sz w:val="20"/>
        </w:rPr>
        <w:t xml:space="preserve">Australian Law Reform Commission Report 122 </w:t>
      </w:r>
      <w:r w:rsidR="003732C1" w:rsidRPr="003732C1">
        <w:rPr>
          <w:rFonts w:asciiTheme="minorHAnsi" w:hAnsiTheme="minorHAnsi"/>
          <w:i/>
          <w:sz w:val="20"/>
        </w:rPr>
        <w:t>Copyright and the Digital Economy</w:t>
      </w:r>
      <w:r w:rsidR="003732C1" w:rsidRPr="003732C1">
        <w:rPr>
          <w:rFonts w:asciiTheme="minorHAnsi" w:hAnsiTheme="minorHAnsi"/>
          <w:sz w:val="20"/>
        </w:rPr>
        <w:t xml:space="preserve"> (2104)</w:t>
      </w:r>
    </w:p>
  </w:footnote>
  <w:footnote w:id="12">
    <w:p w14:paraId="76A12D36" w14:textId="6645175F" w:rsidR="00AD4AC2" w:rsidRPr="003732C1" w:rsidRDefault="00AD4AC2">
      <w:pPr>
        <w:pStyle w:val="FootnoteText"/>
        <w:rPr>
          <w:rFonts w:asciiTheme="minorHAnsi" w:hAnsiTheme="minorHAnsi"/>
        </w:rPr>
      </w:pPr>
      <w:r w:rsidRPr="003732C1">
        <w:rPr>
          <w:rStyle w:val="FootnoteReference"/>
          <w:rFonts w:asciiTheme="minorHAnsi" w:hAnsiTheme="minorHAnsi"/>
        </w:rPr>
        <w:footnoteRef/>
      </w:r>
      <w:r w:rsidR="003732C1" w:rsidRPr="003732C1">
        <w:rPr>
          <w:rFonts w:asciiTheme="minorHAnsi" w:hAnsiTheme="minorHAnsi"/>
          <w:i/>
        </w:rPr>
        <w:t xml:space="preserve"> </w:t>
      </w:r>
      <w:r w:rsidR="003732C1" w:rsidRPr="003732C1">
        <w:rPr>
          <w:rFonts w:asciiTheme="minorHAnsi" w:hAnsiTheme="minorHAnsi"/>
        </w:rPr>
        <w:t xml:space="preserve">For a more detailed discussion on the role of presumptions in copyright see </w:t>
      </w:r>
      <w:r w:rsidR="0051286B">
        <w:rPr>
          <w:rFonts w:asciiTheme="minorHAnsi" w:hAnsiTheme="minorHAnsi"/>
        </w:rPr>
        <w:t xml:space="preserve">K </w:t>
      </w:r>
      <w:proofErr w:type="spellStart"/>
      <w:r w:rsidR="003732C1">
        <w:rPr>
          <w:rFonts w:asciiTheme="minorHAnsi" w:hAnsiTheme="minorHAnsi"/>
        </w:rPr>
        <w:t>Weatherall</w:t>
      </w:r>
      <w:proofErr w:type="spellEnd"/>
      <w:r w:rsidR="003732C1">
        <w:rPr>
          <w:rFonts w:asciiTheme="minorHAnsi" w:hAnsiTheme="minorHAnsi"/>
        </w:rPr>
        <w:t xml:space="preserve">, </w:t>
      </w:r>
      <w:r w:rsidR="003732C1" w:rsidRPr="003732C1">
        <w:rPr>
          <w:rFonts w:asciiTheme="minorHAnsi" w:hAnsiTheme="minorHAnsi"/>
          <w:i/>
        </w:rPr>
        <w:t>Provocations and challenges concerning enforcement and civil procedure in IP</w:t>
      </w:r>
      <w:r w:rsidR="003732C1">
        <w:rPr>
          <w:rFonts w:asciiTheme="minorHAnsi" w:hAnsiTheme="minorHAnsi"/>
        </w:rPr>
        <w:t xml:space="preserve"> </w:t>
      </w:r>
      <w:r w:rsidR="0051286B">
        <w:rPr>
          <w:rFonts w:asciiTheme="minorHAnsi" w:hAnsiTheme="minorHAnsi"/>
        </w:rPr>
        <w:t>in G</w:t>
      </w:r>
      <w:r w:rsidR="003732C1" w:rsidRPr="003732C1">
        <w:rPr>
          <w:rFonts w:asciiTheme="minorHAnsi" w:hAnsiTheme="minorHAnsi"/>
        </w:rPr>
        <w:t xml:space="preserve"> </w:t>
      </w:r>
      <w:proofErr w:type="spellStart"/>
      <w:r w:rsidR="003732C1" w:rsidRPr="003732C1">
        <w:rPr>
          <w:rFonts w:asciiTheme="minorHAnsi" w:hAnsiTheme="minorHAnsi"/>
        </w:rPr>
        <w:t>Dinwoodie</w:t>
      </w:r>
      <w:proofErr w:type="spellEnd"/>
      <w:r w:rsidR="003732C1" w:rsidRPr="003732C1">
        <w:rPr>
          <w:rFonts w:asciiTheme="minorHAnsi" w:hAnsiTheme="minorHAnsi"/>
        </w:rPr>
        <w:t xml:space="preserve"> (</w:t>
      </w:r>
      <w:proofErr w:type="spellStart"/>
      <w:r w:rsidR="003732C1" w:rsidRPr="003732C1">
        <w:rPr>
          <w:rFonts w:asciiTheme="minorHAnsi" w:hAnsiTheme="minorHAnsi"/>
        </w:rPr>
        <w:t>ed</w:t>
      </w:r>
      <w:proofErr w:type="spellEnd"/>
      <w:r w:rsidR="003732C1" w:rsidRPr="003732C1">
        <w:rPr>
          <w:rFonts w:asciiTheme="minorHAnsi" w:hAnsiTheme="minorHAnsi"/>
        </w:rPr>
        <w:t>), Intellectual Property and General Legal Principles (Edward Elgar 2015), 181-205</w:t>
      </w:r>
    </w:p>
  </w:footnote>
  <w:footnote w:id="13">
    <w:p w14:paraId="738D2688" w14:textId="77777777" w:rsidR="008B6E01" w:rsidRPr="003732C1" w:rsidRDefault="00A93D53">
      <w:pPr>
        <w:spacing w:before="0" w:after="0"/>
        <w:rPr>
          <w:rFonts w:asciiTheme="minorHAnsi" w:hAnsiTheme="minorHAnsi"/>
          <w:sz w:val="20"/>
        </w:rPr>
      </w:pPr>
      <w:r w:rsidRPr="003732C1">
        <w:rPr>
          <w:rFonts w:asciiTheme="minorHAnsi" w:hAnsiTheme="minorHAnsi"/>
          <w:sz w:val="20"/>
          <w:vertAlign w:val="superscript"/>
        </w:rPr>
        <w:footnoteRef/>
      </w:r>
      <w:r w:rsidRPr="003732C1">
        <w:rPr>
          <w:rFonts w:asciiTheme="minorHAnsi" w:hAnsiTheme="minorHAnsi"/>
          <w:sz w:val="20"/>
        </w:rPr>
        <w:t xml:space="preserve"> Second reading speech for Copyright Amendment Bill 2006, Mr Ruddock MP, 19 October 2006 &lt;</w:t>
      </w:r>
      <w:hyperlink r:id="rId2">
        <w:r w:rsidRPr="003732C1">
          <w:rPr>
            <w:rFonts w:asciiTheme="minorHAnsi" w:hAnsiTheme="minorHAnsi"/>
            <w:color w:val="1155CC"/>
            <w:sz w:val="20"/>
            <w:u w:val="single"/>
          </w:rPr>
          <w:t>http://parlinfo.aph.gov.au/parlInfo/search/display/display.w3p;query=Id%3A%22chamber%2Fhansardr%2F2006-10-19%2F0005%22</w:t>
        </w:r>
      </w:hyperlink>
      <w:r w:rsidRPr="003732C1">
        <w:rPr>
          <w:rFonts w:asciiTheme="minorHAnsi" w:hAnsiTheme="minorHAnsi"/>
          <w:sz w:val="20"/>
        </w:rPr>
        <w:t>&gt; referring to the presumptions that were introduced or clarified by the</w:t>
      </w:r>
      <w:r w:rsidRPr="003732C1">
        <w:rPr>
          <w:rFonts w:asciiTheme="minorHAnsi" w:hAnsiTheme="minorHAnsi"/>
          <w:i/>
          <w:sz w:val="20"/>
        </w:rPr>
        <w:t xml:space="preserve"> Copyright Amendment Act 2006</w:t>
      </w:r>
      <w:r w:rsidRPr="003732C1">
        <w:rPr>
          <w:rFonts w:asciiTheme="minorHAnsi" w:hAnsiTheme="minorHAnsi"/>
          <w:sz w:val="20"/>
        </w:rPr>
        <w:t xml:space="preserve"> (</w:t>
      </w:r>
      <w:proofErr w:type="spellStart"/>
      <w:r w:rsidRPr="003732C1">
        <w:rPr>
          <w:rFonts w:asciiTheme="minorHAnsi" w:hAnsiTheme="minorHAnsi"/>
          <w:sz w:val="20"/>
        </w:rPr>
        <w:t>Cth</w:t>
      </w:r>
      <w:proofErr w:type="spellEnd"/>
      <w:r w:rsidRPr="003732C1">
        <w:rPr>
          <w:rFonts w:asciiTheme="minorHAnsi" w:hAnsiTheme="minorHAnsi"/>
          <w:sz w:val="20"/>
        </w:rPr>
        <w:t xml:space="preserve">): </w:t>
      </w:r>
      <w:proofErr w:type="spellStart"/>
      <w:r w:rsidRPr="003732C1">
        <w:rPr>
          <w:rFonts w:asciiTheme="minorHAnsi" w:hAnsiTheme="minorHAnsi"/>
          <w:sz w:val="20"/>
        </w:rPr>
        <w:t>ss</w:t>
      </w:r>
      <w:proofErr w:type="spellEnd"/>
      <w:r w:rsidRPr="003732C1">
        <w:rPr>
          <w:rFonts w:asciiTheme="minorHAnsi" w:hAnsiTheme="minorHAnsi"/>
          <w:sz w:val="20"/>
        </w:rPr>
        <w:t xml:space="preserve"> 126A, 126B, 129A, 131, 132AAA, 132B and 132C. </w:t>
      </w:r>
    </w:p>
  </w:footnote>
  <w:footnote w:id="14">
    <w:p w14:paraId="3240B438" w14:textId="77777777" w:rsidR="008B6E01" w:rsidRPr="003732C1" w:rsidRDefault="00A93D53">
      <w:pPr>
        <w:spacing w:before="0" w:after="0"/>
        <w:rPr>
          <w:rFonts w:asciiTheme="minorHAnsi" w:hAnsiTheme="minorHAnsi"/>
          <w:sz w:val="20"/>
        </w:rPr>
      </w:pPr>
      <w:r w:rsidRPr="003732C1">
        <w:rPr>
          <w:rFonts w:asciiTheme="minorHAnsi" w:hAnsiTheme="minorHAnsi"/>
          <w:sz w:val="20"/>
          <w:vertAlign w:val="superscript"/>
        </w:rPr>
        <w:footnoteRef/>
      </w:r>
      <w:r w:rsidRPr="003732C1">
        <w:rPr>
          <w:rFonts w:asciiTheme="minorHAnsi" w:hAnsiTheme="minorHAnsi"/>
          <w:sz w:val="20"/>
        </w:rPr>
        <w:t xml:space="preserve"> The relevant commercial-scale offences include </w:t>
      </w:r>
      <w:proofErr w:type="spellStart"/>
      <w:r w:rsidRPr="003732C1">
        <w:rPr>
          <w:rFonts w:asciiTheme="minorHAnsi" w:hAnsiTheme="minorHAnsi"/>
          <w:sz w:val="20"/>
        </w:rPr>
        <w:t>ss</w:t>
      </w:r>
      <w:proofErr w:type="spellEnd"/>
      <w:r w:rsidRPr="003732C1">
        <w:rPr>
          <w:rFonts w:asciiTheme="minorHAnsi" w:hAnsiTheme="minorHAnsi"/>
          <w:sz w:val="20"/>
        </w:rPr>
        <w:t xml:space="preserve"> 132A - 132AU and 248P - 248QH. </w:t>
      </w:r>
    </w:p>
  </w:footnote>
  <w:footnote w:id="15">
    <w:p w14:paraId="0421755D" w14:textId="0FDA74BD" w:rsidR="008142AC" w:rsidRPr="005276CD" w:rsidRDefault="008142AC" w:rsidP="008142AC">
      <w:pPr>
        <w:pStyle w:val="FootnoteText"/>
      </w:pPr>
      <w:r w:rsidRPr="005276CD">
        <w:rPr>
          <w:rStyle w:val="FootnoteReference"/>
        </w:rPr>
        <w:footnoteRef/>
      </w:r>
      <w:r w:rsidRPr="005276CD">
        <w:rPr>
          <w:i/>
        </w:rPr>
        <w:t>Copyright</w:t>
      </w:r>
      <w:r w:rsidRPr="005276CD">
        <w:t xml:space="preserve"> </w:t>
      </w:r>
      <w:r w:rsidRPr="005276CD">
        <w:rPr>
          <w:i/>
        </w:rPr>
        <w:t>Act</w:t>
      </w:r>
      <w:r w:rsidRPr="005276CD">
        <w:t xml:space="preserve"> </w:t>
      </w:r>
      <w:r w:rsidRPr="005276CD">
        <w:rPr>
          <w:i/>
        </w:rPr>
        <w:t>1968</w:t>
      </w:r>
      <w:r w:rsidRPr="005276CD">
        <w:t xml:space="preserve"> (</w:t>
      </w:r>
      <w:proofErr w:type="spellStart"/>
      <w:r w:rsidRPr="005276CD">
        <w:t>Cth</w:t>
      </w:r>
      <w:proofErr w:type="spellEnd"/>
      <w:r w:rsidRPr="005276CD">
        <w:t>) s 132AA.</w:t>
      </w:r>
    </w:p>
  </w:footnote>
  <w:footnote w:id="16">
    <w:p w14:paraId="291E7A24" w14:textId="6E7476FD" w:rsidR="008142AC" w:rsidRPr="00D5183C" w:rsidRDefault="008142AC">
      <w:pPr>
        <w:pStyle w:val="FootnoteText"/>
        <w:rPr>
          <w:lang w:val="en-AU"/>
        </w:rPr>
      </w:pPr>
      <w:r>
        <w:rPr>
          <w:rStyle w:val="FootnoteReference"/>
        </w:rPr>
        <w:footnoteRef/>
      </w:r>
      <w:r>
        <w:t xml:space="preserve"> </w:t>
      </w:r>
      <w:r>
        <w:rPr>
          <w:lang w:val="en-AU"/>
        </w:rPr>
        <w:t xml:space="preserve">Kimberlee Weatherall, </w:t>
      </w:r>
      <w:r w:rsidRPr="001515FA">
        <w:rPr>
          <w:szCs w:val="22"/>
        </w:rPr>
        <w:t xml:space="preserve">‘Of Copyright Bureaucracies and Incoherence: Stepping Back from Australia’s Recent Copyright Reforms’ (2007) 31 </w:t>
      </w:r>
      <w:r w:rsidRPr="001515FA">
        <w:rPr>
          <w:i/>
          <w:szCs w:val="22"/>
        </w:rPr>
        <w:t xml:space="preserve">Melbourne University Law Review </w:t>
      </w:r>
      <w:r>
        <w:rPr>
          <w:szCs w:val="22"/>
        </w:rPr>
        <w:t>967, 1004-1008.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434C7937"/>
    <w:multiLevelType w:val="hybridMultilevel"/>
    <w:tmpl w:val="1F88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B53155"/>
    <w:multiLevelType w:val="multilevel"/>
    <w:tmpl w:val="B35C70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lvlOverride w:ilvl="0">
      <w:lvl w:ilvl="0">
        <w:start w:val="1"/>
        <w:numFmt w:val="bullet"/>
        <w:lvlText w:val="•"/>
        <w:legacy w:legacy="1" w:legacySpace="0" w:legacyIndent="170"/>
        <w:lvlJc w:val="left"/>
        <w:pPr>
          <w:ind w:left="340" w:hanging="170"/>
        </w:pPr>
        <w:rPr>
          <w:rFonts w:ascii="Times New Roman" w:hAnsi="Times New Roman" w:hint="default"/>
        </w:rPr>
      </w:lvl>
    </w:lvlOverride>
  </w:num>
  <w:num w:numId="4">
    <w:abstractNumId w:val="0"/>
    <w:lvlOverride w:ilvl="0">
      <w:lvl w:ilvl="0">
        <w:start w:val="1"/>
        <w:numFmt w:val="bullet"/>
        <w:lvlText w:val="•"/>
        <w:legacy w:legacy="1" w:legacySpace="0" w:legacyIndent="170"/>
        <w:lvlJc w:val="left"/>
        <w:pPr>
          <w:ind w:left="340" w:hanging="170"/>
        </w:pPr>
        <w:rPr>
          <w:rFonts w:ascii="Times New Roman" w:hAnsi="Times New Roman" w:hint="default"/>
        </w:rPr>
      </w:lvl>
    </w:lvlOverride>
  </w:num>
  <w:num w:numId="5">
    <w:abstractNumId w:val="0"/>
    <w:lvlOverride w:ilvl="0">
      <w:lvl w:ilvl="0">
        <w:start w:val="1"/>
        <w:numFmt w:val="bullet"/>
        <w:lvlText w:val="•"/>
        <w:legacy w:legacy="1" w:legacySpace="0" w:legacyIndent="170"/>
        <w:lvlJc w:val="left"/>
        <w:pPr>
          <w:ind w:left="340" w:hanging="170"/>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01"/>
    <w:rsid w:val="00287A09"/>
    <w:rsid w:val="002B3F1C"/>
    <w:rsid w:val="00364B2B"/>
    <w:rsid w:val="003732C1"/>
    <w:rsid w:val="0051286B"/>
    <w:rsid w:val="00727C81"/>
    <w:rsid w:val="008142AC"/>
    <w:rsid w:val="008B6E01"/>
    <w:rsid w:val="00A8643E"/>
    <w:rsid w:val="00A93D53"/>
    <w:rsid w:val="00AD4AC2"/>
    <w:rsid w:val="00D5183C"/>
    <w:rsid w:val="00E13539"/>
    <w:rsid w:val="00E31327"/>
    <w:rsid w:val="00F53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869C"/>
  <w15:docId w15:val="{8A311DFC-1047-4194-A842-D6CEB3C4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132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1327"/>
    <w:rPr>
      <w:b/>
      <w:bCs/>
    </w:rPr>
  </w:style>
  <w:style w:type="character" w:customStyle="1" w:styleId="CommentSubjectChar">
    <w:name w:val="Comment Subject Char"/>
    <w:basedOn w:val="CommentTextChar"/>
    <w:link w:val="CommentSubject"/>
    <w:uiPriority w:val="99"/>
    <w:semiHidden/>
    <w:rsid w:val="00E31327"/>
    <w:rPr>
      <w:b/>
      <w:bCs/>
      <w:sz w:val="20"/>
    </w:rPr>
  </w:style>
  <w:style w:type="paragraph" w:styleId="FootnoteText">
    <w:name w:val="footnote text"/>
    <w:basedOn w:val="Normal"/>
    <w:link w:val="FootnoteTextChar"/>
    <w:unhideWhenUsed/>
    <w:rsid w:val="00AD4AC2"/>
    <w:pPr>
      <w:spacing w:before="0" w:after="0"/>
    </w:pPr>
    <w:rPr>
      <w:sz w:val="20"/>
    </w:rPr>
  </w:style>
  <w:style w:type="character" w:customStyle="1" w:styleId="FootnoteTextChar">
    <w:name w:val="Footnote Text Char"/>
    <w:basedOn w:val="DefaultParagraphFont"/>
    <w:link w:val="FootnoteText"/>
    <w:rsid w:val="00AD4AC2"/>
    <w:rPr>
      <w:sz w:val="20"/>
    </w:rPr>
  </w:style>
  <w:style w:type="character" w:styleId="FootnoteReference">
    <w:name w:val="footnote reference"/>
    <w:basedOn w:val="DefaultParagraphFont"/>
    <w:unhideWhenUsed/>
    <w:rsid w:val="00AD4AC2"/>
    <w:rPr>
      <w:vertAlign w:val="superscript"/>
    </w:rPr>
  </w:style>
  <w:style w:type="table" w:styleId="TableGrid">
    <w:name w:val="Table Grid"/>
    <w:basedOn w:val="TableNormal"/>
    <w:uiPriority w:val="39"/>
    <w:rsid w:val="003732C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732C1"/>
  </w:style>
  <w:style w:type="paragraph" w:styleId="ListParagraph">
    <w:name w:val="List Paragraph"/>
    <w:basedOn w:val="Normal"/>
    <w:uiPriority w:val="34"/>
    <w:qFormat/>
    <w:rsid w:val="002B3F1C"/>
    <w:pPr>
      <w:ind w:left="720"/>
      <w:contextualSpacing/>
    </w:pPr>
  </w:style>
  <w:style w:type="character" w:styleId="Hyperlink">
    <w:name w:val="Hyperlink"/>
    <w:basedOn w:val="DefaultParagraphFont"/>
    <w:uiPriority w:val="99"/>
    <w:unhideWhenUsed/>
    <w:rsid w:val="002B3F1C"/>
    <w:rPr>
      <w:color w:val="0563C1" w:themeColor="hyperlink"/>
      <w:u w:val="single"/>
    </w:rPr>
  </w:style>
  <w:style w:type="paragraph" w:customStyle="1" w:styleId="NormalBullet">
    <w:name w:val="Normal Bullet"/>
    <w:basedOn w:val="Normal"/>
    <w:rsid w:val="008142AC"/>
    <w:pPr>
      <w:spacing w:before="40" w:after="60"/>
      <w:ind w:left="459" w:hanging="289"/>
      <w:jc w:val="both"/>
    </w:pPr>
    <w:rPr>
      <w:rFonts w:ascii="Times New Roman" w:eastAsia="Times New Roman" w:hAnsi="Times New Roman" w:cs="Times New Roman"/>
      <w:color w:val="auto"/>
      <w:kern w:val="14"/>
      <w:sz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digital.org.au"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arlinfo.aph.gov.au/parlInfo/search/display/display.w3p;query=Id%3A%22chamber%2Fhansardr%2F2006-10-19%2F0005%22" TargetMode="External"/><Relationship Id="rId1" Type="http://schemas.openxmlformats.org/officeDocument/2006/relationships/hyperlink" Target="https://www.humanrights.gov.au/our-work/rights-and-freedoms/publications/free-speech-2014-symposium-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BF1ED-A8F3-4AF8-8C73-1851F37B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Weatherall</dc:creator>
  <cp:lastModifiedBy>Australian Digital</cp:lastModifiedBy>
  <cp:revision>3</cp:revision>
  <dcterms:created xsi:type="dcterms:W3CDTF">2015-03-09T02:39:00Z</dcterms:created>
  <dcterms:modified xsi:type="dcterms:W3CDTF">2015-03-09T02:54:00Z</dcterms:modified>
</cp:coreProperties>
</file>