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03" w:rsidRPr="00AA6D9E" w:rsidRDefault="00344703"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E91ECD">
      <w:pPr>
        <w:jc w:val="both"/>
        <w:rPr>
          <w:rFonts w:cstheme="minorHAnsi"/>
          <w:b/>
          <w:bCs/>
          <w:sz w:val="22"/>
          <w:szCs w:val="22"/>
        </w:rPr>
      </w:pPr>
    </w:p>
    <w:p w:rsidR="00BD5520" w:rsidRPr="00AA6D9E" w:rsidRDefault="00BD5520" w:rsidP="00DC78B4">
      <w:pPr>
        <w:spacing w:after="120"/>
        <w:jc w:val="center"/>
        <w:rPr>
          <w:rFonts w:cstheme="minorHAnsi"/>
          <w:b/>
          <w:bCs/>
          <w:i/>
          <w:iCs/>
          <w:sz w:val="36"/>
          <w:szCs w:val="36"/>
        </w:rPr>
      </w:pPr>
      <w:r w:rsidRPr="00AA6D9E">
        <w:rPr>
          <w:rFonts w:cstheme="minorHAnsi"/>
          <w:b/>
          <w:bCs/>
          <w:sz w:val="36"/>
          <w:szCs w:val="36"/>
        </w:rPr>
        <w:t xml:space="preserve">Submission regarding exceptions for technological protection measures in the </w:t>
      </w:r>
      <w:r w:rsidRPr="00AA6D9E">
        <w:rPr>
          <w:rFonts w:cstheme="minorHAnsi"/>
          <w:b/>
          <w:bCs/>
          <w:i/>
          <w:iCs/>
          <w:sz w:val="36"/>
          <w:szCs w:val="36"/>
        </w:rPr>
        <w:t>Copyright Act 1968</w:t>
      </w:r>
    </w:p>
    <w:p w:rsidR="00BD5520" w:rsidRPr="00AA6D9E" w:rsidRDefault="00BD5520" w:rsidP="00DC78B4">
      <w:pPr>
        <w:spacing w:after="120"/>
        <w:jc w:val="center"/>
        <w:rPr>
          <w:rFonts w:cstheme="minorHAnsi"/>
          <w:bCs/>
          <w:i/>
        </w:rPr>
      </w:pPr>
      <w:r w:rsidRPr="00AA6D9E">
        <w:rPr>
          <w:rFonts w:cstheme="minorHAnsi"/>
          <w:bCs/>
          <w:i/>
        </w:rPr>
        <w:t>By the Australian Digital Alliance and Australian Libraries Copyright Committee</w:t>
      </w:r>
    </w:p>
    <w:p w:rsidR="00BD5520" w:rsidRPr="00AA6D9E" w:rsidRDefault="00BD5520" w:rsidP="00DC78B4">
      <w:pPr>
        <w:jc w:val="center"/>
        <w:rPr>
          <w:rFonts w:cstheme="minorHAnsi"/>
          <w:b/>
          <w:bCs/>
          <w:sz w:val="22"/>
          <w:szCs w:val="22"/>
        </w:rPr>
      </w:pPr>
      <w:r w:rsidRPr="00E9419A">
        <w:rPr>
          <w:rFonts w:cstheme="minorHAnsi"/>
          <w:bCs/>
          <w:iCs/>
        </w:rPr>
        <w:t>17 August 2012</w:t>
      </w:r>
      <w:r w:rsidRPr="00AA6D9E">
        <w:rPr>
          <w:rFonts w:cstheme="minorHAnsi"/>
          <w:b/>
          <w:bCs/>
          <w:sz w:val="28"/>
          <w:szCs w:val="28"/>
        </w:rPr>
        <w:br w:type="page"/>
      </w:r>
    </w:p>
    <w:p w:rsidR="003949AA" w:rsidRPr="00AA6D9E" w:rsidRDefault="003949AA" w:rsidP="00E91ECD">
      <w:pPr>
        <w:spacing w:after="120"/>
        <w:jc w:val="both"/>
        <w:rPr>
          <w:rFonts w:cstheme="minorHAnsi"/>
          <w:b/>
          <w:bCs/>
          <w:sz w:val="28"/>
          <w:szCs w:val="28"/>
        </w:rPr>
      </w:pPr>
      <w:r w:rsidRPr="00AA6D9E">
        <w:rPr>
          <w:rFonts w:cstheme="minorHAnsi"/>
          <w:b/>
          <w:bCs/>
          <w:sz w:val="28"/>
          <w:szCs w:val="28"/>
        </w:rPr>
        <w:lastRenderedPageBreak/>
        <w:t>Executive Summary</w:t>
      </w:r>
    </w:p>
    <w:p w:rsidR="003949AA" w:rsidRPr="00AA6D9E" w:rsidRDefault="003949AA" w:rsidP="00E91ECD">
      <w:pPr>
        <w:spacing w:after="120"/>
        <w:jc w:val="both"/>
        <w:rPr>
          <w:rFonts w:cstheme="minorHAnsi"/>
          <w:sz w:val="22"/>
          <w:szCs w:val="22"/>
        </w:rPr>
      </w:pPr>
      <w:r w:rsidRPr="00AA6D9E">
        <w:rPr>
          <w:rFonts w:cstheme="minorHAnsi"/>
          <w:sz w:val="22"/>
          <w:szCs w:val="22"/>
        </w:rPr>
        <w:t xml:space="preserve">The Australian Digital Alliance and Australian Libraries Copyright Committee welcome the opportunity to comment on the </w:t>
      </w:r>
      <w:r w:rsidR="00E5693C" w:rsidRPr="00AA6D9E">
        <w:rPr>
          <w:rFonts w:cstheme="minorHAnsi"/>
          <w:sz w:val="22"/>
          <w:szCs w:val="22"/>
        </w:rPr>
        <w:t>Attorney-General’s review of</w:t>
      </w:r>
      <w:r w:rsidRPr="00AA6D9E">
        <w:rPr>
          <w:rFonts w:cstheme="minorHAnsi"/>
          <w:sz w:val="22"/>
          <w:szCs w:val="22"/>
        </w:rPr>
        <w:t xml:space="preserve"> exceptions in the </w:t>
      </w:r>
      <w:r w:rsidRPr="00AA6D9E">
        <w:rPr>
          <w:rFonts w:cstheme="minorHAnsi"/>
          <w:i/>
          <w:iCs/>
          <w:sz w:val="22"/>
          <w:szCs w:val="22"/>
        </w:rPr>
        <w:t xml:space="preserve">Copyright Act 1968 </w:t>
      </w:r>
      <w:r w:rsidR="009E2729" w:rsidRPr="00AA6D9E">
        <w:rPr>
          <w:rFonts w:cstheme="minorHAnsi"/>
          <w:sz w:val="22"/>
          <w:szCs w:val="22"/>
        </w:rPr>
        <w:t xml:space="preserve">(the Act) </w:t>
      </w:r>
      <w:r w:rsidRPr="00AA6D9E">
        <w:rPr>
          <w:rFonts w:cstheme="minorHAnsi"/>
          <w:sz w:val="22"/>
          <w:szCs w:val="22"/>
        </w:rPr>
        <w:t xml:space="preserve">for the circumvention of </w:t>
      </w:r>
      <w:r w:rsidR="00582E31">
        <w:rPr>
          <w:rFonts w:cstheme="minorHAnsi"/>
          <w:sz w:val="22"/>
          <w:szCs w:val="22"/>
        </w:rPr>
        <w:t xml:space="preserve">access control </w:t>
      </w:r>
      <w:r w:rsidRPr="00AA6D9E">
        <w:rPr>
          <w:rFonts w:cstheme="minorHAnsi"/>
          <w:sz w:val="22"/>
          <w:szCs w:val="22"/>
        </w:rPr>
        <w:t>technological protection measures</w:t>
      </w:r>
      <w:r w:rsidR="00BC17C2" w:rsidRPr="00AA6D9E">
        <w:rPr>
          <w:rFonts w:cstheme="minorHAnsi"/>
          <w:sz w:val="22"/>
          <w:szCs w:val="22"/>
        </w:rPr>
        <w:t xml:space="preserve"> (TPMs)</w:t>
      </w:r>
      <w:r w:rsidRPr="00AA6D9E">
        <w:rPr>
          <w:rFonts w:cstheme="minorHAnsi"/>
          <w:sz w:val="22"/>
          <w:szCs w:val="22"/>
        </w:rPr>
        <w:t xml:space="preserve">. </w:t>
      </w:r>
    </w:p>
    <w:p w:rsidR="002D6615" w:rsidRPr="00AA6D9E" w:rsidRDefault="002D6615" w:rsidP="00E91ECD">
      <w:pPr>
        <w:spacing w:after="120"/>
        <w:jc w:val="both"/>
        <w:rPr>
          <w:rFonts w:cstheme="minorHAnsi"/>
          <w:sz w:val="22"/>
          <w:szCs w:val="22"/>
        </w:rPr>
      </w:pPr>
      <w:r w:rsidRPr="00AA6D9E">
        <w:rPr>
          <w:rFonts w:cstheme="minorHAnsi"/>
          <w:sz w:val="22"/>
          <w:szCs w:val="22"/>
        </w:rPr>
        <w:t xml:space="preserve">In the digital </w:t>
      </w:r>
      <w:r w:rsidR="002A7169">
        <w:rPr>
          <w:rFonts w:cstheme="minorHAnsi"/>
          <w:sz w:val="22"/>
          <w:szCs w:val="22"/>
        </w:rPr>
        <w:t>environment</w:t>
      </w:r>
      <w:r w:rsidRPr="00AA6D9E">
        <w:rPr>
          <w:rFonts w:cstheme="minorHAnsi"/>
          <w:sz w:val="22"/>
          <w:szCs w:val="22"/>
        </w:rPr>
        <w:t xml:space="preserve">, the use of TPMs in works in digital formats has become ubiquitous. In the copyright landscape, the </w:t>
      </w:r>
      <w:r w:rsidR="00F15B27" w:rsidRPr="00AA6D9E">
        <w:rPr>
          <w:rFonts w:cstheme="minorHAnsi"/>
          <w:sz w:val="22"/>
          <w:szCs w:val="22"/>
        </w:rPr>
        <w:t xml:space="preserve">existence of offence provisions for the circumvention of TPMs that are separated from offences for copyright infringement </w:t>
      </w:r>
      <w:r w:rsidRPr="00AA6D9E">
        <w:rPr>
          <w:rFonts w:cstheme="minorHAnsi"/>
          <w:sz w:val="22"/>
          <w:szCs w:val="22"/>
        </w:rPr>
        <w:t>presents a challenge to the fundamental balancing act of copyright law, which must ensure the rights of creators are safeguarded while at the same time facilitating user access to information and creat</w:t>
      </w:r>
      <w:r w:rsidR="009E2729" w:rsidRPr="00AA6D9E">
        <w:rPr>
          <w:rFonts w:cstheme="minorHAnsi"/>
          <w:sz w:val="22"/>
          <w:szCs w:val="22"/>
        </w:rPr>
        <w:t xml:space="preserve">ive works. Without this balance, copyright law cannot be said to be adequately promoting the creation of works of scientific, creative, and cultural value. </w:t>
      </w:r>
    </w:p>
    <w:p w:rsidR="00BC17C2" w:rsidRPr="00AA6D9E" w:rsidRDefault="009E2729" w:rsidP="00E91ECD">
      <w:pPr>
        <w:spacing w:after="120"/>
        <w:jc w:val="both"/>
        <w:rPr>
          <w:rFonts w:cstheme="minorHAnsi"/>
          <w:sz w:val="22"/>
          <w:szCs w:val="22"/>
        </w:rPr>
      </w:pPr>
      <w:r w:rsidRPr="00AA6D9E">
        <w:rPr>
          <w:rFonts w:cstheme="minorHAnsi"/>
          <w:sz w:val="22"/>
          <w:szCs w:val="22"/>
        </w:rPr>
        <w:t xml:space="preserve">The ADA and ALCC </w:t>
      </w:r>
      <w:r w:rsidR="00BC17C2" w:rsidRPr="00AA6D9E">
        <w:rPr>
          <w:rFonts w:cstheme="minorHAnsi"/>
          <w:sz w:val="22"/>
          <w:szCs w:val="22"/>
        </w:rPr>
        <w:t xml:space="preserve">believe that the </w:t>
      </w:r>
      <w:r w:rsidRPr="00AA6D9E">
        <w:rPr>
          <w:rFonts w:cstheme="minorHAnsi"/>
          <w:sz w:val="22"/>
          <w:szCs w:val="22"/>
        </w:rPr>
        <w:t xml:space="preserve">exceptions </w:t>
      </w:r>
      <w:r w:rsidR="00B2394C" w:rsidRPr="00AA6D9E">
        <w:rPr>
          <w:rFonts w:cstheme="minorHAnsi"/>
          <w:sz w:val="22"/>
          <w:szCs w:val="22"/>
        </w:rPr>
        <w:t>facilitating</w:t>
      </w:r>
      <w:r w:rsidRPr="00AA6D9E">
        <w:rPr>
          <w:rFonts w:cstheme="minorHAnsi"/>
          <w:sz w:val="22"/>
          <w:szCs w:val="22"/>
        </w:rPr>
        <w:t xml:space="preserve"> the circumvention of TPMs in the Act have</w:t>
      </w:r>
      <w:r w:rsidR="00BC17C2" w:rsidRPr="00AA6D9E">
        <w:rPr>
          <w:rFonts w:cstheme="minorHAnsi"/>
          <w:sz w:val="22"/>
          <w:szCs w:val="22"/>
        </w:rPr>
        <w:t xml:space="preserve"> not kept pace with the rapid changes </w:t>
      </w:r>
      <w:r w:rsidR="00F15B27" w:rsidRPr="00AA6D9E">
        <w:rPr>
          <w:rFonts w:cstheme="minorHAnsi"/>
          <w:sz w:val="22"/>
          <w:szCs w:val="22"/>
        </w:rPr>
        <w:t xml:space="preserve">in dealing with copyrighted works </w:t>
      </w:r>
      <w:r w:rsidR="00BC17C2" w:rsidRPr="00AA6D9E">
        <w:rPr>
          <w:rFonts w:cstheme="minorHAnsi"/>
          <w:sz w:val="22"/>
          <w:szCs w:val="22"/>
        </w:rPr>
        <w:t xml:space="preserve">brought </w:t>
      </w:r>
      <w:r w:rsidR="00F15B27" w:rsidRPr="00AA6D9E">
        <w:rPr>
          <w:rFonts w:cstheme="minorHAnsi"/>
          <w:sz w:val="22"/>
          <w:szCs w:val="22"/>
        </w:rPr>
        <w:t xml:space="preserve">about by digital technologies. These provisions </w:t>
      </w:r>
      <w:r w:rsidR="00AC1294">
        <w:rPr>
          <w:rFonts w:cstheme="minorHAnsi"/>
          <w:sz w:val="22"/>
          <w:szCs w:val="22"/>
        </w:rPr>
        <w:t>can no longer</w:t>
      </w:r>
      <w:r w:rsidR="00BC17C2" w:rsidRPr="00AA6D9E">
        <w:rPr>
          <w:rFonts w:cstheme="minorHAnsi"/>
          <w:sz w:val="22"/>
          <w:szCs w:val="22"/>
        </w:rPr>
        <w:t xml:space="preserve"> adequately protect activities that promote the development of the Australian cultural landscape. Such activities include creative pursuits of artists such as film-makers or composers wishing to build on previous works, the activities of </w:t>
      </w:r>
      <w:r w:rsidR="00E31AB5">
        <w:rPr>
          <w:rFonts w:cstheme="minorHAnsi"/>
          <w:sz w:val="22"/>
          <w:szCs w:val="22"/>
        </w:rPr>
        <w:t>educational practitioners</w:t>
      </w:r>
      <w:r w:rsidR="00BC17C2" w:rsidRPr="00AA6D9E">
        <w:rPr>
          <w:rFonts w:cstheme="minorHAnsi"/>
          <w:sz w:val="22"/>
          <w:szCs w:val="22"/>
        </w:rPr>
        <w:t xml:space="preserve"> </w:t>
      </w:r>
      <w:r w:rsidR="00E31AB5">
        <w:rPr>
          <w:rFonts w:cstheme="minorHAnsi"/>
          <w:sz w:val="22"/>
          <w:szCs w:val="22"/>
        </w:rPr>
        <w:t>supporting</w:t>
      </w:r>
      <w:r w:rsidR="00BC17C2" w:rsidRPr="00AA6D9E">
        <w:rPr>
          <w:rFonts w:cstheme="minorHAnsi"/>
          <w:sz w:val="22"/>
          <w:szCs w:val="22"/>
        </w:rPr>
        <w:t xml:space="preserve"> students who are engaging in increasingly complex and innovative ways with the digital world, and cultural institutions such as libraries, archives and museums seeking to preserve and provide access to our cultural heritage in more relevant and engaging ways. </w:t>
      </w:r>
    </w:p>
    <w:p w:rsidR="009E2729" w:rsidRPr="00AA6D9E" w:rsidRDefault="009E2729" w:rsidP="00E91ECD">
      <w:pPr>
        <w:spacing w:after="120"/>
        <w:jc w:val="both"/>
        <w:rPr>
          <w:rFonts w:cstheme="minorHAnsi"/>
          <w:sz w:val="22"/>
          <w:szCs w:val="22"/>
        </w:rPr>
      </w:pPr>
      <w:r w:rsidRPr="00AA6D9E">
        <w:rPr>
          <w:rFonts w:cstheme="minorHAnsi"/>
          <w:sz w:val="22"/>
          <w:szCs w:val="22"/>
        </w:rPr>
        <w:t>This submission recommends the adoption and expansion</w:t>
      </w:r>
      <w:r w:rsidR="00165E58" w:rsidRPr="00AA6D9E">
        <w:rPr>
          <w:rFonts w:cstheme="minorHAnsi"/>
          <w:sz w:val="22"/>
          <w:szCs w:val="22"/>
        </w:rPr>
        <w:t xml:space="preserve"> </w:t>
      </w:r>
      <w:r w:rsidRPr="006D05CA">
        <w:rPr>
          <w:rFonts w:cstheme="minorHAnsi"/>
          <w:sz w:val="22"/>
          <w:szCs w:val="22"/>
        </w:rPr>
        <w:t>of excep</w:t>
      </w:r>
      <w:r w:rsidRPr="00AA6D9E">
        <w:rPr>
          <w:rFonts w:cstheme="minorHAnsi"/>
          <w:sz w:val="22"/>
          <w:szCs w:val="22"/>
        </w:rPr>
        <w:t>tions to anti-circumvention laws covering the following activities:</w:t>
      </w:r>
    </w:p>
    <w:p w:rsidR="009E2729" w:rsidRPr="00AA6D9E" w:rsidRDefault="009E2729" w:rsidP="00E91ECD">
      <w:pPr>
        <w:numPr>
          <w:ilvl w:val="0"/>
          <w:numId w:val="14"/>
        </w:numPr>
        <w:spacing w:before="120" w:after="0"/>
        <w:ind w:left="714" w:hanging="357"/>
        <w:jc w:val="both"/>
        <w:rPr>
          <w:rFonts w:cstheme="minorHAnsi"/>
          <w:sz w:val="22"/>
          <w:szCs w:val="22"/>
        </w:rPr>
      </w:pPr>
      <w:r w:rsidRPr="00AA6D9E">
        <w:rPr>
          <w:rFonts w:cstheme="minorHAnsi"/>
          <w:sz w:val="22"/>
          <w:szCs w:val="22"/>
        </w:rPr>
        <w:t>Access to works for the purpose of making non-infringing copies of those works</w:t>
      </w:r>
      <w:r w:rsidR="00254F1E" w:rsidRPr="00AA6D9E">
        <w:rPr>
          <w:rFonts w:cstheme="minorHAnsi"/>
          <w:sz w:val="22"/>
          <w:szCs w:val="22"/>
        </w:rPr>
        <w:t xml:space="preserve"> for the purposes of fair dealing</w:t>
      </w:r>
      <w:r w:rsidRPr="00AA6D9E">
        <w:rPr>
          <w:rFonts w:cstheme="minorHAnsi"/>
          <w:sz w:val="22"/>
          <w:szCs w:val="22"/>
        </w:rPr>
        <w:t>;</w:t>
      </w:r>
    </w:p>
    <w:p w:rsidR="009E2729" w:rsidRPr="00AA6D9E" w:rsidRDefault="009E2729" w:rsidP="00E91ECD">
      <w:pPr>
        <w:numPr>
          <w:ilvl w:val="0"/>
          <w:numId w:val="14"/>
        </w:numPr>
        <w:spacing w:before="120" w:after="0"/>
        <w:ind w:left="714" w:hanging="357"/>
        <w:jc w:val="both"/>
        <w:rPr>
          <w:rFonts w:cstheme="minorHAnsi"/>
          <w:sz w:val="22"/>
          <w:szCs w:val="22"/>
        </w:rPr>
      </w:pPr>
      <w:r w:rsidRPr="00AA6D9E">
        <w:rPr>
          <w:rFonts w:cstheme="minorHAnsi"/>
          <w:sz w:val="22"/>
          <w:szCs w:val="22"/>
        </w:rPr>
        <w:t xml:space="preserve">Access to works </w:t>
      </w:r>
      <w:r w:rsidR="003B3307" w:rsidRPr="00AA6D9E">
        <w:rPr>
          <w:rFonts w:cstheme="minorHAnsi"/>
          <w:sz w:val="22"/>
          <w:szCs w:val="22"/>
        </w:rPr>
        <w:t xml:space="preserve">by libraries and cultural institutions </w:t>
      </w:r>
      <w:r w:rsidRPr="00AA6D9E">
        <w:rPr>
          <w:rFonts w:cstheme="minorHAnsi"/>
          <w:sz w:val="22"/>
          <w:szCs w:val="22"/>
        </w:rPr>
        <w:t xml:space="preserve">to undertake activities pursuant to </w:t>
      </w:r>
      <w:r w:rsidR="003B3307" w:rsidRPr="00AA6D9E">
        <w:rPr>
          <w:rFonts w:cstheme="minorHAnsi"/>
          <w:sz w:val="22"/>
          <w:szCs w:val="22"/>
        </w:rPr>
        <w:t>the flexible dealing provision in s200AB</w:t>
      </w:r>
      <w:r w:rsidRPr="00AA6D9E">
        <w:rPr>
          <w:rFonts w:cstheme="minorHAnsi"/>
          <w:sz w:val="22"/>
          <w:szCs w:val="22"/>
        </w:rPr>
        <w:t xml:space="preserve"> of the </w:t>
      </w:r>
      <w:r w:rsidRPr="00AA6D9E">
        <w:rPr>
          <w:rFonts w:cstheme="minorHAnsi"/>
          <w:i/>
          <w:iCs/>
          <w:sz w:val="22"/>
          <w:szCs w:val="22"/>
        </w:rPr>
        <w:t>Copyright Act 1968</w:t>
      </w:r>
      <w:r w:rsidRPr="00AA6D9E">
        <w:rPr>
          <w:rFonts w:cstheme="minorHAnsi"/>
          <w:sz w:val="22"/>
          <w:szCs w:val="22"/>
        </w:rPr>
        <w:t>;</w:t>
      </w:r>
    </w:p>
    <w:p w:rsidR="009E2729" w:rsidRPr="00315088" w:rsidRDefault="009E2729" w:rsidP="00E91ECD">
      <w:pPr>
        <w:numPr>
          <w:ilvl w:val="0"/>
          <w:numId w:val="14"/>
        </w:numPr>
        <w:spacing w:before="120" w:after="0"/>
        <w:ind w:left="714" w:hanging="357"/>
        <w:jc w:val="both"/>
        <w:rPr>
          <w:rFonts w:cstheme="minorHAnsi"/>
          <w:sz w:val="22"/>
          <w:szCs w:val="22"/>
        </w:rPr>
      </w:pPr>
      <w:r w:rsidRPr="00315088">
        <w:rPr>
          <w:rFonts w:cstheme="minorHAnsi"/>
          <w:sz w:val="22"/>
          <w:szCs w:val="22"/>
        </w:rPr>
        <w:t xml:space="preserve">Access to works </w:t>
      </w:r>
      <w:r w:rsidR="00F70968" w:rsidRPr="00315088">
        <w:rPr>
          <w:rFonts w:cstheme="minorHAnsi"/>
          <w:sz w:val="22"/>
          <w:szCs w:val="22"/>
        </w:rPr>
        <w:t>for educational institutions, facilitating flexible dealing under s200AB, and utilising the Part VA and fair dealing exceptions</w:t>
      </w:r>
      <w:r w:rsidR="006E22BE">
        <w:rPr>
          <w:rFonts w:cstheme="minorHAnsi"/>
          <w:sz w:val="22"/>
          <w:szCs w:val="22"/>
        </w:rPr>
        <w:t>, in line with the recommendations contained in submissions from Universities Australia and the Copyright Advisory Group for the Standing Council on School Education and Early Childhood</w:t>
      </w:r>
      <w:r w:rsidR="00F70968" w:rsidRPr="00315088">
        <w:rPr>
          <w:rFonts w:cstheme="minorHAnsi"/>
          <w:sz w:val="22"/>
          <w:szCs w:val="22"/>
        </w:rPr>
        <w:t xml:space="preserve">. </w:t>
      </w:r>
    </w:p>
    <w:p w:rsidR="0020134E" w:rsidRPr="00AA6D9E" w:rsidRDefault="0020134E" w:rsidP="00E91ECD">
      <w:pPr>
        <w:spacing w:after="120"/>
        <w:jc w:val="both"/>
        <w:rPr>
          <w:rFonts w:cstheme="minorHAnsi"/>
          <w:sz w:val="22"/>
          <w:szCs w:val="22"/>
        </w:rPr>
      </w:pPr>
    </w:p>
    <w:p w:rsidR="004D271F" w:rsidRPr="00AA6D9E" w:rsidRDefault="004D271F" w:rsidP="00E91ECD">
      <w:pPr>
        <w:spacing w:before="0" w:after="200"/>
        <w:jc w:val="both"/>
        <w:rPr>
          <w:rFonts w:cstheme="minorHAnsi"/>
          <w:b/>
          <w:bCs/>
          <w:sz w:val="28"/>
          <w:szCs w:val="28"/>
        </w:rPr>
      </w:pPr>
      <w:r w:rsidRPr="00AA6D9E">
        <w:rPr>
          <w:rFonts w:cstheme="minorHAnsi"/>
          <w:b/>
          <w:bCs/>
          <w:sz w:val="28"/>
          <w:szCs w:val="28"/>
        </w:rPr>
        <w:br w:type="page"/>
      </w:r>
    </w:p>
    <w:p w:rsidR="0073390E" w:rsidRPr="00AA6D9E" w:rsidRDefault="00CE1147" w:rsidP="00E91ECD">
      <w:pPr>
        <w:spacing w:after="0" w:line="240" w:lineRule="auto"/>
        <w:jc w:val="both"/>
        <w:rPr>
          <w:rFonts w:cstheme="minorHAnsi"/>
          <w:b/>
          <w:bCs/>
          <w:sz w:val="28"/>
          <w:szCs w:val="28"/>
        </w:rPr>
      </w:pPr>
      <w:r w:rsidRPr="00AA6D9E">
        <w:rPr>
          <w:rFonts w:cstheme="minorHAnsi"/>
          <w:b/>
          <w:bCs/>
          <w:sz w:val="28"/>
          <w:szCs w:val="28"/>
        </w:rPr>
        <w:lastRenderedPageBreak/>
        <w:t>Introduction</w:t>
      </w:r>
    </w:p>
    <w:p w:rsidR="00CE1147" w:rsidRPr="00AA6D9E" w:rsidRDefault="00CE1147" w:rsidP="00E91ECD">
      <w:pPr>
        <w:spacing w:line="240" w:lineRule="auto"/>
        <w:jc w:val="both"/>
        <w:rPr>
          <w:rFonts w:cstheme="minorHAnsi"/>
          <w:sz w:val="22"/>
          <w:szCs w:val="22"/>
        </w:rPr>
      </w:pPr>
      <w:r w:rsidRPr="00AA6D9E">
        <w:rPr>
          <w:rFonts w:cstheme="minorHAnsi"/>
          <w:sz w:val="22"/>
          <w:szCs w:val="22"/>
        </w:rPr>
        <w:t>This submission is made on behalf of the Australian Digital Alliance (ADA), and the Australian Libraries’ Copyright Committee (ALCC).</w:t>
      </w:r>
    </w:p>
    <w:p w:rsidR="00CE1147" w:rsidRPr="00AA6D9E" w:rsidRDefault="00CE1147" w:rsidP="00E91ECD">
      <w:pPr>
        <w:spacing w:line="240" w:lineRule="auto"/>
        <w:jc w:val="both"/>
        <w:rPr>
          <w:rFonts w:cstheme="minorHAnsi"/>
          <w:sz w:val="22"/>
          <w:szCs w:val="22"/>
        </w:rPr>
      </w:pPr>
      <w:r w:rsidRPr="00AA6D9E">
        <w:rPr>
          <w:rFonts w:cstheme="minorHAnsi"/>
          <w:sz w:val="22"/>
          <w:szCs w:val="22"/>
        </w:rPr>
        <w:t>The ADA is a non-profit coalition of public and private sector interests formed to promote balanced copyright law and provide an effective voice for a public interest perspective in the copyright debate. ADA members include universities, schools, consumer groups, galleries, museums, IT companies, scientific and other research organisations, libraries and individuals.</w:t>
      </w:r>
    </w:p>
    <w:p w:rsidR="00CE1147" w:rsidRPr="00AA6D9E" w:rsidRDefault="00CE1147" w:rsidP="00E91ECD">
      <w:pPr>
        <w:spacing w:line="240" w:lineRule="auto"/>
        <w:jc w:val="both"/>
        <w:rPr>
          <w:rFonts w:cstheme="minorHAnsi"/>
          <w:sz w:val="22"/>
          <w:szCs w:val="22"/>
        </w:rPr>
      </w:pPr>
      <w:r w:rsidRPr="00AA6D9E">
        <w:rPr>
          <w:rFonts w:cstheme="minorHAnsi"/>
          <w:sz w:val="22"/>
          <w:szCs w:val="22"/>
        </w:rPr>
        <w:t xml:space="preserve">Whilst the breadth of ADA membership spans various sectors, all members are united in their support of copyright law that </w:t>
      </w:r>
      <w:r w:rsidR="00B2394C" w:rsidRPr="00AA6D9E">
        <w:rPr>
          <w:rFonts w:cstheme="minorHAnsi"/>
          <w:sz w:val="22"/>
          <w:szCs w:val="22"/>
        </w:rPr>
        <w:t xml:space="preserve">appropriately </w:t>
      </w:r>
      <w:r w:rsidRPr="00AA6D9E">
        <w:rPr>
          <w:rFonts w:cstheme="minorHAnsi"/>
          <w:sz w:val="22"/>
          <w:szCs w:val="22"/>
        </w:rPr>
        <w:t>balances the interests of rights holders with the interests of users of copyright material.</w:t>
      </w:r>
    </w:p>
    <w:p w:rsidR="00CE1147" w:rsidRPr="00AA6D9E" w:rsidRDefault="00CE1147" w:rsidP="00E91ECD">
      <w:pPr>
        <w:spacing w:line="240" w:lineRule="auto"/>
        <w:jc w:val="both"/>
        <w:rPr>
          <w:rFonts w:cstheme="minorHAnsi"/>
          <w:sz w:val="22"/>
          <w:szCs w:val="22"/>
        </w:rPr>
      </w:pPr>
      <w:r w:rsidRPr="00AA6D9E">
        <w:rPr>
          <w:rFonts w:cstheme="minorHAnsi"/>
          <w:sz w:val="22"/>
          <w:szCs w:val="22"/>
        </w:rPr>
        <w:t>The ALCC is the main consultative body and policy forum for the discussion of copyright issues affecting Australian libraries and archives. It is a cross-sectoral committee which represents the following organisations:</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Australian Library and Information Association</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Australian Government Libraries Information Network</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Council of Australasian Archives and Records Authorities</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The Australian Society of Archivists</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Council of Australian University Librarians</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National Library of Australia</w:t>
      </w:r>
    </w:p>
    <w:p w:rsidR="00CE1147" w:rsidRPr="00AA6D9E" w:rsidRDefault="00CE1147" w:rsidP="00E91ECD">
      <w:pPr>
        <w:numPr>
          <w:ilvl w:val="0"/>
          <w:numId w:val="11"/>
        </w:numPr>
        <w:spacing w:before="120" w:after="120" w:line="240" w:lineRule="auto"/>
        <w:ind w:left="777" w:hanging="357"/>
        <w:jc w:val="both"/>
        <w:rPr>
          <w:rFonts w:cstheme="minorHAnsi"/>
          <w:sz w:val="22"/>
          <w:szCs w:val="22"/>
        </w:rPr>
      </w:pPr>
      <w:r w:rsidRPr="00AA6D9E">
        <w:rPr>
          <w:rFonts w:cstheme="minorHAnsi"/>
          <w:sz w:val="22"/>
          <w:szCs w:val="22"/>
        </w:rPr>
        <w:t>National and State Libraries Australasia</w:t>
      </w:r>
    </w:p>
    <w:p w:rsidR="00E91ECD" w:rsidRDefault="00E91ECD" w:rsidP="00E91ECD">
      <w:pPr>
        <w:spacing w:after="120" w:line="240" w:lineRule="auto"/>
        <w:jc w:val="both"/>
        <w:rPr>
          <w:rFonts w:cstheme="minorHAnsi"/>
          <w:sz w:val="22"/>
          <w:szCs w:val="22"/>
        </w:rPr>
      </w:pPr>
    </w:p>
    <w:p w:rsidR="00CE1147" w:rsidRPr="00E91ECD" w:rsidRDefault="00CE1147" w:rsidP="00E91ECD">
      <w:pPr>
        <w:spacing w:after="120" w:line="240" w:lineRule="auto"/>
        <w:jc w:val="both"/>
        <w:rPr>
          <w:rFonts w:cstheme="minorHAnsi"/>
          <w:sz w:val="22"/>
          <w:szCs w:val="22"/>
        </w:rPr>
      </w:pPr>
      <w:r w:rsidRPr="00AA6D9E">
        <w:rPr>
          <w:rFonts w:cstheme="minorHAnsi"/>
          <w:sz w:val="22"/>
          <w:szCs w:val="22"/>
        </w:rPr>
        <w:t>In this submission the ADA and ALCC address the review criteria by commenting on</w:t>
      </w:r>
      <w:r w:rsidR="00E91ECD">
        <w:rPr>
          <w:rFonts w:cstheme="minorHAnsi"/>
          <w:sz w:val="22"/>
          <w:szCs w:val="22"/>
        </w:rPr>
        <w:t xml:space="preserve"> t</w:t>
      </w:r>
      <w:r w:rsidRPr="00E91ECD">
        <w:rPr>
          <w:rFonts w:cstheme="minorHAnsi"/>
          <w:sz w:val="22"/>
          <w:szCs w:val="22"/>
        </w:rPr>
        <w:t xml:space="preserve">he need to expand current </w:t>
      </w:r>
      <w:r w:rsidR="002F4686" w:rsidRPr="00E91ECD">
        <w:rPr>
          <w:rFonts w:cstheme="minorHAnsi"/>
          <w:sz w:val="22"/>
          <w:szCs w:val="22"/>
        </w:rPr>
        <w:t xml:space="preserve">TPMs </w:t>
      </w:r>
      <w:r w:rsidRPr="00E91ECD">
        <w:rPr>
          <w:rFonts w:cstheme="minorHAnsi"/>
          <w:sz w:val="22"/>
          <w:szCs w:val="22"/>
        </w:rPr>
        <w:t xml:space="preserve">exceptions to allow </w:t>
      </w:r>
      <w:r w:rsidR="002F4686" w:rsidRPr="00E91ECD">
        <w:rPr>
          <w:rFonts w:cstheme="minorHAnsi"/>
          <w:sz w:val="22"/>
          <w:szCs w:val="22"/>
        </w:rPr>
        <w:t>libraries, educational and cultural institutions, and consumers to make full use of important exceptions for non-infringing uses in the Act. These are</w:t>
      </w:r>
      <w:r w:rsidR="00E91ECD">
        <w:rPr>
          <w:rFonts w:cstheme="minorHAnsi"/>
          <w:sz w:val="22"/>
          <w:szCs w:val="22"/>
        </w:rPr>
        <w:t>:</w:t>
      </w:r>
    </w:p>
    <w:p w:rsidR="003B3307" w:rsidRPr="00AA6D9E" w:rsidRDefault="003B3307" w:rsidP="00E91ECD">
      <w:pPr>
        <w:numPr>
          <w:ilvl w:val="0"/>
          <w:numId w:val="14"/>
        </w:numPr>
        <w:spacing w:before="120" w:after="0" w:line="240" w:lineRule="auto"/>
        <w:jc w:val="both"/>
        <w:rPr>
          <w:rFonts w:cstheme="minorHAnsi"/>
          <w:sz w:val="22"/>
          <w:szCs w:val="22"/>
        </w:rPr>
      </w:pPr>
      <w:r w:rsidRPr="00AA6D9E">
        <w:rPr>
          <w:rFonts w:cstheme="minorHAnsi"/>
          <w:sz w:val="22"/>
          <w:szCs w:val="22"/>
        </w:rPr>
        <w:t>Access to works for the purpose of making non-infringing copies of those works for the purposes of fair dealing;</w:t>
      </w:r>
    </w:p>
    <w:p w:rsidR="003B3307" w:rsidRPr="00AA6D9E" w:rsidRDefault="003B3307" w:rsidP="00E91ECD">
      <w:pPr>
        <w:numPr>
          <w:ilvl w:val="0"/>
          <w:numId w:val="14"/>
        </w:numPr>
        <w:spacing w:before="120" w:after="0" w:line="240" w:lineRule="auto"/>
        <w:jc w:val="both"/>
        <w:rPr>
          <w:rFonts w:cstheme="minorHAnsi"/>
          <w:sz w:val="22"/>
          <w:szCs w:val="22"/>
        </w:rPr>
      </w:pPr>
      <w:r w:rsidRPr="00AA6D9E">
        <w:rPr>
          <w:rFonts w:cstheme="minorHAnsi"/>
          <w:sz w:val="22"/>
          <w:szCs w:val="22"/>
        </w:rPr>
        <w:t xml:space="preserve">Access to works by libraries and cultural institutions to undertake activities pursuant to the flexible dealing provision in s200AB of the </w:t>
      </w:r>
      <w:r w:rsidRPr="00AA6D9E">
        <w:rPr>
          <w:rFonts w:cstheme="minorHAnsi"/>
          <w:i/>
          <w:iCs/>
          <w:sz w:val="22"/>
          <w:szCs w:val="22"/>
        </w:rPr>
        <w:t>Copyright Act 1968</w:t>
      </w:r>
      <w:r w:rsidRPr="00AA6D9E">
        <w:rPr>
          <w:rFonts w:cstheme="minorHAnsi"/>
          <w:sz w:val="22"/>
          <w:szCs w:val="22"/>
        </w:rPr>
        <w:t>;</w:t>
      </w:r>
    </w:p>
    <w:p w:rsidR="006E22BE" w:rsidRPr="00315088" w:rsidRDefault="003B3307" w:rsidP="00E91ECD">
      <w:pPr>
        <w:numPr>
          <w:ilvl w:val="0"/>
          <w:numId w:val="14"/>
        </w:numPr>
        <w:spacing w:before="120" w:after="0"/>
        <w:jc w:val="both"/>
        <w:rPr>
          <w:rFonts w:cstheme="minorHAnsi"/>
          <w:sz w:val="22"/>
          <w:szCs w:val="22"/>
        </w:rPr>
      </w:pPr>
      <w:r w:rsidRPr="00315088">
        <w:rPr>
          <w:rFonts w:cstheme="minorHAnsi"/>
          <w:sz w:val="22"/>
          <w:szCs w:val="22"/>
        </w:rPr>
        <w:t xml:space="preserve">Access to works for educational institutions, facilitating flexible dealing under s200AB, and utilising the Part VA and fair dealing exceptions. </w:t>
      </w:r>
      <w:r w:rsidR="006E22BE">
        <w:rPr>
          <w:rFonts w:cstheme="minorHAnsi"/>
          <w:sz w:val="22"/>
          <w:szCs w:val="22"/>
        </w:rPr>
        <w:t>In this matter the ADA and ALCC support the submissions of Universities Australia and the Copyright Advisory Group for the Standing Council on School Education and Early Childhood</w:t>
      </w:r>
      <w:r w:rsidR="006E22BE" w:rsidRPr="00315088">
        <w:rPr>
          <w:rFonts w:cstheme="minorHAnsi"/>
          <w:sz w:val="22"/>
          <w:szCs w:val="22"/>
        </w:rPr>
        <w:t xml:space="preserve">. </w:t>
      </w:r>
    </w:p>
    <w:p w:rsidR="00E91ECD" w:rsidRDefault="00E91ECD" w:rsidP="00E91ECD">
      <w:pPr>
        <w:spacing w:before="0" w:after="200"/>
        <w:jc w:val="both"/>
        <w:rPr>
          <w:rFonts w:cstheme="minorHAnsi"/>
          <w:b/>
          <w:sz w:val="28"/>
          <w:szCs w:val="28"/>
          <w:u w:val="single"/>
        </w:rPr>
      </w:pPr>
      <w:r>
        <w:rPr>
          <w:rFonts w:cstheme="minorHAnsi"/>
          <w:b/>
          <w:sz w:val="28"/>
          <w:szCs w:val="28"/>
          <w:u w:val="single"/>
        </w:rPr>
        <w:br w:type="page"/>
      </w:r>
    </w:p>
    <w:p w:rsidR="00A37CE8" w:rsidRPr="00AA6D9E" w:rsidRDefault="00A37CE8" w:rsidP="00E91ECD">
      <w:pPr>
        <w:spacing w:after="120"/>
        <w:jc w:val="both"/>
        <w:rPr>
          <w:rFonts w:cstheme="minorHAnsi"/>
          <w:sz w:val="22"/>
          <w:szCs w:val="22"/>
        </w:rPr>
      </w:pPr>
      <w:r w:rsidRPr="00AA6D9E">
        <w:rPr>
          <w:rFonts w:cstheme="minorHAnsi"/>
          <w:b/>
          <w:sz w:val="28"/>
          <w:szCs w:val="28"/>
          <w:u w:val="single"/>
        </w:rPr>
        <w:lastRenderedPageBreak/>
        <w:t>Part I: Exceptions to liability for circumventing TPMs for the purpose of Fair Dealing</w:t>
      </w:r>
    </w:p>
    <w:p w:rsidR="00F16F26" w:rsidRPr="00AA6D9E" w:rsidRDefault="00604F17" w:rsidP="00E91ECD">
      <w:pPr>
        <w:spacing w:after="240"/>
        <w:jc w:val="both"/>
        <w:rPr>
          <w:rFonts w:cstheme="minorHAnsi"/>
          <w:sz w:val="22"/>
          <w:szCs w:val="22"/>
        </w:rPr>
      </w:pPr>
      <w:r w:rsidRPr="00AA6D9E">
        <w:rPr>
          <w:rFonts w:cstheme="minorHAnsi"/>
          <w:sz w:val="22"/>
          <w:szCs w:val="22"/>
        </w:rPr>
        <w:t xml:space="preserve">The fair dealing exceptions are essential balancing provisions in the Act. Fair dealing, however, does not have a corresponding exception for the circumvention of TPMs. With the increasing ubiquity of digital media, and the </w:t>
      </w:r>
      <w:r w:rsidR="002A7169">
        <w:rPr>
          <w:rFonts w:cstheme="minorHAnsi"/>
          <w:sz w:val="22"/>
          <w:szCs w:val="22"/>
        </w:rPr>
        <w:t xml:space="preserve">abundance of </w:t>
      </w:r>
      <w:r w:rsidRPr="00AA6D9E">
        <w:rPr>
          <w:rFonts w:cstheme="minorHAnsi"/>
          <w:sz w:val="22"/>
          <w:szCs w:val="22"/>
        </w:rPr>
        <w:t>tools to craft new works from digital media, this affects a large number of different users of copyright material. User groups, including members of the ADA and ALCC</w:t>
      </w:r>
      <w:r w:rsidR="00DC78B4">
        <w:rPr>
          <w:rFonts w:cstheme="minorHAnsi"/>
          <w:sz w:val="22"/>
          <w:szCs w:val="22"/>
        </w:rPr>
        <w:t>,</w:t>
      </w:r>
      <w:r w:rsidRPr="00AA6D9E">
        <w:rPr>
          <w:rFonts w:cstheme="minorHAnsi"/>
          <w:sz w:val="22"/>
          <w:szCs w:val="22"/>
        </w:rPr>
        <w:t xml:space="preserve"> have voiced their concerns to us about the stifling of innovation that occurs when innovators and creators are unable to make full use of copyright exceptions. </w:t>
      </w:r>
    </w:p>
    <w:p w:rsidR="00A37CE8" w:rsidRPr="00AA6D9E" w:rsidRDefault="00604F17" w:rsidP="00E91ECD">
      <w:pPr>
        <w:spacing w:before="0" w:after="240"/>
        <w:jc w:val="both"/>
        <w:rPr>
          <w:rFonts w:cstheme="minorHAnsi"/>
          <w:sz w:val="22"/>
          <w:szCs w:val="22"/>
        </w:rPr>
      </w:pPr>
      <w:r w:rsidRPr="00AA6D9E">
        <w:rPr>
          <w:rFonts w:cstheme="minorHAnsi"/>
          <w:sz w:val="22"/>
          <w:szCs w:val="22"/>
        </w:rPr>
        <w:t xml:space="preserve">The creation and use of digital works, </w:t>
      </w:r>
      <w:r w:rsidR="00B2394C" w:rsidRPr="00AA6D9E">
        <w:rPr>
          <w:rFonts w:cstheme="minorHAnsi"/>
          <w:sz w:val="22"/>
          <w:szCs w:val="22"/>
        </w:rPr>
        <w:t>many</w:t>
      </w:r>
      <w:r w:rsidRPr="00AA6D9E">
        <w:rPr>
          <w:rFonts w:cstheme="minorHAnsi"/>
          <w:sz w:val="22"/>
          <w:szCs w:val="22"/>
        </w:rPr>
        <w:t xml:space="preserve"> of which are now protected by TPMs, has exploded since exceptions for TPM circumvention were first implemented following the AUSTFA agreement in 2006. We are now seeing a younger generation of budding </w:t>
      </w:r>
      <w:r w:rsidR="003045C5">
        <w:rPr>
          <w:rFonts w:cstheme="minorHAnsi"/>
          <w:sz w:val="22"/>
          <w:szCs w:val="22"/>
        </w:rPr>
        <w:t xml:space="preserve">digital content creators, such as </w:t>
      </w:r>
      <w:r w:rsidRPr="00AA6D9E">
        <w:rPr>
          <w:rFonts w:cstheme="minorHAnsi"/>
          <w:sz w:val="22"/>
          <w:szCs w:val="22"/>
        </w:rPr>
        <w:t xml:space="preserve">film makers and remix artists who are seeking to use </w:t>
      </w:r>
      <w:r w:rsidR="00AC1294">
        <w:rPr>
          <w:rFonts w:cstheme="minorHAnsi"/>
          <w:sz w:val="22"/>
          <w:szCs w:val="22"/>
        </w:rPr>
        <w:t xml:space="preserve">content </w:t>
      </w:r>
      <w:r w:rsidRPr="00AA6D9E">
        <w:rPr>
          <w:rFonts w:cstheme="minorHAnsi"/>
          <w:sz w:val="22"/>
          <w:szCs w:val="22"/>
        </w:rPr>
        <w:t>in new and innovative ways</w:t>
      </w:r>
      <w:r w:rsidR="00AC1294">
        <w:rPr>
          <w:rFonts w:cstheme="minorHAnsi"/>
          <w:sz w:val="22"/>
          <w:szCs w:val="22"/>
        </w:rPr>
        <w:t xml:space="preserve">. While </w:t>
      </w:r>
      <w:r w:rsidR="00B2394C" w:rsidRPr="00AA6D9E">
        <w:rPr>
          <w:rFonts w:cstheme="minorHAnsi"/>
          <w:sz w:val="22"/>
          <w:szCs w:val="22"/>
        </w:rPr>
        <w:t xml:space="preserve">the </w:t>
      </w:r>
      <w:r w:rsidR="00AC1294">
        <w:rPr>
          <w:rFonts w:cstheme="minorHAnsi"/>
          <w:sz w:val="22"/>
          <w:szCs w:val="22"/>
        </w:rPr>
        <w:t>Act</w:t>
      </w:r>
      <w:r w:rsidR="00B2394C" w:rsidRPr="00AA6D9E">
        <w:rPr>
          <w:rFonts w:cstheme="minorHAnsi"/>
          <w:sz w:val="22"/>
          <w:szCs w:val="22"/>
        </w:rPr>
        <w:t xml:space="preserve"> allows</w:t>
      </w:r>
      <w:r w:rsidR="00AC1294">
        <w:rPr>
          <w:rFonts w:cstheme="minorHAnsi"/>
          <w:sz w:val="22"/>
          <w:szCs w:val="22"/>
        </w:rPr>
        <w:t xml:space="preserve"> for such uses</w:t>
      </w:r>
      <w:r w:rsidR="00B2394C" w:rsidRPr="00AA6D9E">
        <w:rPr>
          <w:rFonts w:cstheme="minorHAnsi"/>
          <w:sz w:val="22"/>
          <w:szCs w:val="22"/>
        </w:rPr>
        <w:t xml:space="preserve"> as</w:t>
      </w:r>
      <w:r w:rsidRPr="00AA6D9E">
        <w:rPr>
          <w:rFonts w:cstheme="minorHAnsi"/>
          <w:sz w:val="22"/>
          <w:szCs w:val="22"/>
        </w:rPr>
        <w:t xml:space="preserve"> </w:t>
      </w:r>
      <w:r w:rsidR="00AC1294">
        <w:rPr>
          <w:rFonts w:cstheme="minorHAnsi"/>
          <w:sz w:val="22"/>
          <w:szCs w:val="22"/>
        </w:rPr>
        <w:t>fair dealing,</w:t>
      </w:r>
      <w:r w:rsidR="00B2394C" w:rsidRPr="00AA6D9E">
        <w:rPr>
          <w:rFonts w:cstheme="minorHAnsi"/>
          <w:sz w:val="22"/>
          <w:szCs w:val="22"/>
        </w:rPr>
        <w:t xml:space="preserve"> </w:t>
      </w:r>
      <w:r w:rsidR="00AC1294">
        <w:rPr>
          <w:rFonts w:cstheme="minorHAnsi"/>
          <w:sz w:val="22"/>
          <w:szCs w:val="22"/>
        </w:rPr>
        <w:t>users</w:t>
      </w:r>
      <w:r w:rsidR="00B2394C" w:rsidRPr="00AA6D9E">
        <w:rPr>
          <w:rFonts w:cstheme="minorHAnsi"/>
          <w:sz w:val="22"/>
          <w:szCs w:val="22"/>
        </w:rPr>
        <w:t xml:space="preserve"> are being stymied </w:t>
      </w:r>
      <w:r w:rsidR="00AC1294">
        <w:rPr>
          <w:rFonts w:cstheme="minorHAnsi"/>
          <w:sz w:val="22"/>
          <w:szCs w:val="22"/>
        </w:rPr>
        <w:t xml:space="preserve">in their creative pursuits </w:t>
      </w:r>
      <w:r w:rsidR="00B2394C" w:rsidRPr="00AA6D9E">
        <w:rPr>
          <w:rFonts w:cstheme="minorHAnsi"/>
          <w:sz w:val="22"/>
          <w:szCs w:val="22"/>
        </w:rPr>
        <w:t>by the presence of TPMs</w:t>
      </w:r>
      <w:r w:rsidR="00AC1294">
        <w:rPr>
          <w:rFonts w:cstheme="minorHAnsi"/>
          <w:sz w:val="22"/>
          <w:szCs w:val="22"/>
        </w:rPr>
        <w:t xml:space="preserve"> on DVDs, </w:t>
      </w:r>
      <w:proofErr w:type="spellStart"/>
      <w:r w:rsidR="00AC1294">
        <w:rPr>
          <w:rFonts w:cstheme="minorHAnsi"/>
          <w:sz w:val="22"/>
          <w:szCs w:val="22"/>
        </w:rPr>
        <w:t>Blu</w:t>
      </w:r>
      <w:proofErr w:type="spellEnd"/>
      <w:r w:rsidR="00AC1294">
        <w:rPr>
          <w:rFonts w:cstheme="minorHAnsi"/>
          <w:sz w:val="22"/>
          <w:szCs w:val="22"/>
        </w:rPr>
        <w:t>-ray discs, and online media</w:t>
      </w:r>
      <w:r w:rsidR="00B2394C" w:rsidRPr="00AA6D9E">
        <w:rPr>
          <w:rFonts w:cstheme="minorHAnsi"/>
          <w:sz w:val="22"/>
          <w:szCs w:val="22"/>
        </w:rPr>
        <w:t xml:space="preserve">. </w:t>
      </w:r>
    </w:p>
    <w:p w:rsidR="00191E9A" w:rsidRPr="00AA6D9E" w:rsidRDefault="002835E9" w:rsidP="00E91ECD">
      <w:pPr>
        <w:spacing w:before="0" w:after="240"/>
        <w:jc w:val="both"/>
        <w:rPr>
          <w:rFonts w:cstheme="minorHAnsi"/>
          <w:sz w:val="22"/>
          <w:szCs w:val="22"/>
        </w:rPr>
      </w:pPr>
      <w:r w:rsidRPr="00AA6D9E">
        <w:rPr>
          <w:rFonts w:cstheme="minorHAnsi"/>
          <w:sz w:val="22"/>
          <w:szCs w:val="22"/>
        </w:rPr>
        <w:t xml:space="preserve">A </w:t>
      </w:r>
      <w:r w:rsidR="008D4052">
        <w:rPr>
          <w:rFonts w:cstheme="minorHAnsi"/>
          <w:sz w:val="22"/>
          <w:szCs w:val="22"/>
        </w:rPr>
        <w:t>media</w:t>
      </w:r>
      <w:r w:rsidRPr="00AA6D9E">
        <w:rPr>
          <w:rFonts w:cstheme="minorHAnsi"/>
          <w:sz w:val="22"/>
          <w:szCs w:val="22"/>
        </w:rPr>
        <w:t xml:space="preserve"> student wishing to copy snippets from a videotape may do so simply by using a home VCR, by either the outdated method of recording to another VHS tape, or using one of the many VHS to DVD converters available on the market.</w:t>
      </w:r>
      <w:r w:rsidRPr="00AA6D9E">
        <w:rPr>
          <w:rStyle w:val="FootnoteReference"/>
          <w:rFonts w:cstheme="minorHAnsi"/>
          <w:sz w:val="22"/>
          <w:szCs w:val="22"/>
        </w:rPr>
        <w:footnoteReference w:id="2"/>
      </w:r>
      <w:r w:rsidRPr="00AA6D9E">
        <w:rPr>
          <w:rFonts w:cstheme="minorHAnsi"/>
          <w:sz w:val="22"/>
          <w:szCs w:val="22"/>
        </w:rPr>
        <w:t xml:space="preserve"> </w:t>
      </w:r>
      <w:r w:rsidR="00315088">
        <w:rPr>
          <w:rFonts w:cstheme="minorHAnsi"/>
          <w:sz w:val="22"/>
          <w:szCs w:val="22"/>
        </w:rPr>
        <w:t>She</w:t>
      </w:r>
      <w:r w:rsidRPr="00AA6D9E">
        <w:rPr>
          <w:rFonts w:cstheme="minorHAnsi"/>
          <w:sz w:val="22"/>
          <w:szCs w:val="22"/>
        </w:rPr>
        <w:t xml:space="preserve"> may then use the clips extracted from the VHS in a presentation or assignment. This is permitted under fair dealing for the purpose of research or study. However, a student who uses clips extracted from a DVD in her work </w:t>
      </w:r>
      <w:r w:rsidR="00F15B27" w:rsidRPr="00AA6D9E">
        <w:rPr>
          <w:rFonts w:cstheme="minorHAnsi"/>
          <w:sz w:val="22"/>
          <w:szCs w:val="22"/>
        </w:rPr>
        <w:t xml:space="preserve">will (most often) </w:t>
      </w:r>
      <w:r w:rsidR="005F156D" w:rsidRPr="00AA6D9E">
        <w:rPr>
          <w:rFonts w:cstheme="minorHAnsi"/>
          <w:sz w:val="22"/>
          <w:szCs w:val="22"/>
        </w:rPr>
        <w:t xml:space="preserve">have circumvented the TPM on the DVD, thereby infringing </w:t>
      </w:r>
      <w:r w:rsidR="002A7169">
        <w:rPr>
          <w:rFonts w:cstheme="minorHAnsi"/>
          <w:sz w:val="22"/>
          <w:szCs w:val="22"/>
        </w:rPr>
        <w:t>copyright</w:t>
      </w:r>
      <w:r w:rsidR="005F156D" w:rsidRPr="00AA6D9E">
        <w:rPr>
          <w:rFonts w:cstheme="minorHAnsi"/>
          <w:sz w:val="22"/>
          <w:szCs w:val="22"/>
        </w:rPr>
        <w:t xml:space="preserve">. </w:t>
      </w:r>
      <w:r w:rsidR="00F15B27" w:rsidRPr="00AA6D9E">
        <w:rPr>
          <w:rFonts w:cstheme="minorHAnsi"/>
          <w:sz w:val="22"/>
          <w:szCs w:val="22"/>
        </w:rPr>
        <w:t xml:space="preserve"> </w:t>
      </w:r>
      <w:r w:rsidR="005F156D" w:rsidRPr="00AA6D9E">
        <w:rPr>
          <w:rFonts w:cstheme="minorHAnsi"/>
          <w:sz w:val="22"/>
          <w:szCs w:val="22"/>
        </w:rPr>
        <w:t>The lack of a circumvention exception here</w:t>
      </w:r>
      <w:r w:rsidR="00191E9A" w:rsidRPr="00AA6D9E">
        <w:rPr>
          <w:rFonts w:cstheme="minorHAnsi"/>
          <w:sz w:val="22"/>
          <w:szCs w:val="22"/>
        </w:rPr>
        <w:t xml:space="preserve"> effectively places de facto limits on the scope and relevance of the fair dealing exception.</w:t>
      </w:r>
    </w:p>
    <w:p w:rsidR="00A615E9" w:rsidRPr="00AA6D9E" w:rsidRDefault="002835E9" w:rsidP="00E91ECD">
      <w:pPr>
        <w:spacing w:before="0" w:after="240"/>
        <w:jc w:val="both"/>
        <w:rPr>
          <w:rFonts w:cstheme="minorHAnsi"/>
          <w:sz w:val="22"/>
          <w:szCs w:val="22"/>
        </w:rPr>
      </w:pPr>
      <w:r w:rsidRPr="00AA6D9E">
        <w:rPr>
          <w:rFonts w:cstheme="minorHAnsi"/>
          <w:sz w:val="22"/>
          <w:szCs w:val="22"/>
        </w:rPr>
        <w:t>The migration of home-owned films from VHS to DVD means that</w:t>
      </w:r>
      <w:r w:rsidR="005F156D" w:rsidRPr="00AA6D9E">
        <w:rPr>
          <w:rFonts w:cstheme="minorHAnsi"/>
          <w:sz w:val="22"/>
          <w:szCs w:val="22"/>
        </w:rPr>
        <w:t>, today,</w:t>
      </w:r>
      <w:r w:rsidRPr="00AA6D9E">
        <w:rPr>
          <w:rFonts w:cstheme="minorHAnsi"/>
          <w:sz w:val="22"/>
          <w:szCs w:val="22"/>
        </w:rPr>
        <w:t xml:space="preserve"> very few </w:t>
      </w:r>
      <w:r w:rsidR="002A7169">
        <w:rPr>
          <w:rFonts w:cstheme="minorHAnsi"/>
          <w:sz w:val="22"/>
          <w:szCs w:val="22"/>
        </w:rPr>
        <w:t>users</w:t>
      </w:r>
      <w:r w:rsidRPr="00AA6D9E">
        <w:rPr>
          <w:rFonts w:cstheme="minorHAnsi"/>
          <w:sz w:val="22"/>
          <w:szCs w:val="22"/>
        </w:rPr>
        <w:t xml:space="preserve"> </w:t>
      </w:r>
      <w:r w:rsidR="005F156D" w:rsidRPr="00AA6D9E">
        <w:rPr>
          <w:rFonts w:cstheme="minorHAnsi"/>
          <w:sz w:val="22"/>
          <w:szCs w:val="22"/>
        </w:rPr>
        <w:t>will consider using clips extracted from a VHS</w:t>
      </w:r>
      <w:r w:rsidRPr="00AA6D9E">
        <w:rPr>
          <w:rFonts w:cstheme="minorHAnsi"/>
          <w:sz w:val="22"/>
          <w:szCs w:val="22"/>
        </w:rPr>
        <w:t xml:space="preserve">, and those that do will often prefer to use clips extracted from DVDs as they are of a higher quality. </w:t>
      </w:r>
      <w:r w:rsidR="00375BBF" w:rsidRPr="00AA6D9E">
        <w:rPr>
          <w:rFonts w:cstheme="minorHAnsi"/>
          <w:sz w:val="22"/>
          <w:szCs w:val="22"/>
        </w:rPr>
        <w:t xml:space="preserve">Virtually no </w:t>
      </w:r>
      <w:r w:rsidR="00AC1294">
        <w:rPr>
          <w:rFonts w:cstheme="minorHAnsi"/>
          <w:sz w:val="22"/>
          <w:szCs w:val="22"/>
        </w:rPr>
        <w:t xml:space="preserve">audio-visual </w:t>
      </w:r>
      <w:r w:rsidR="00375BBF" w:rsidRPr="00AA6D9E">
        <w:rPr>
          <w:rFonts w:cstheme="minorHAnsi"/>
          <w:sz w:val="22"/>
          <w:szCs w:val="22"/>
        </w:rPr>
        <w:t>material produced in the last five years is available on VHS. The result is an arbitrary discrepancy in activities permitted by the fair dealing exc</w:t>
      </w:r>
      <w:r w:rsidR="00582E31">
        <w:rPr>
          <w:rFonts w:cstheme="minorHAnsi"/>
          <w:sz w:val="22"/>
          <w:szCs w:val="22"/>
        </w:rPr>
        <w:t>eption due to the presence of a</w:t>
      </w:r>
      <w:r w:rsidR="00375BBF" w:rsidRPr="00AA6D9E">
        <w:rPr>
          <w:rFonts w:cstheme="minorHAnsi"/>
          <w:sz w:val="22"/>
          <w:szCs w:val="22"/>
        </w:rPr>
        <w:t xml:space="preserve"> TPM on the updated media for viewing film and television. A new exception allowing the circumvention of TPMs when the material is being used under fair dealing would remedy this discrepancy. </w:t>
      </w:r>
    </w:p>
    <w:p w:rsidR="006D05CA" w:rsidRDefault="006D05CA" w:rsidP="00E91ECD">
      <w:pPr>
        <w:spacing w:before="0" w:after="240"/>
        <w:jc w:val="both"/>
        <w:rPr>
          <w:rFonts w:cstheme="minorHAnsi"/>
          <w:i/>
          <w:iCs/>
          <w:sz w:val="22"/>
          <w:szCs w:val="22"/>
        </w:rPr>
      </w:pPr>
    </w:p>
    <w:p w:rsidR="00E91ECD" w:rsidRDefault="00E91ECD" w:rsidP="00E91ECD">
      <w:pPr>
        <w:spacing w:before="0" w:after="240"/>
        <w:jc w:val="both"/>
        <w:rPr>
          <w:rFonts w:cstheme="minorHAnsi"/>
          <w:i/>
          <w:iCs/>
          <w:sz w:val="22"/>
          <w:szCs w:val="22"/>
        </w:rPr>
      </w:pPr>
    </w:p>
    <w:p w:rsidR="00604F17" w:rsidRPr="00AA6D9E" w:rsidRDefault="00D50079" w:rsidP="00E91ECD">
      <w:pPr>
        <w:spacing w:before="0" w:after="240"/>
        <w:jc w:val="both"/>
        <w:rPr>
          <w:rFonts w:cstheme="minorHAnsi"/>
          <w:sz w:val="22"/>
          <w:szCs w:val="22"/>
        </w:rPr>
      </w:pPr>
      <w:r w:rsidRPr="00AA6D9E">
        <w:rPr>
          <w:rFonts w:cstheme="minorHAnsi"/>
          <w:i/>
          <w:iCs/>
          <w:sz w:val="22"/>
          <w:szCs w:val="22"/>
        </w:rPr>
        <w:lastRenderedPageBreak/>
        <w:t xml:space="preserve">How does an exception allowing circumvention to perform an activity covered by fair dealing </w:t>
      </w:r>
      <w:r w:rsidR="00322FBE" w:rsidRPr="00AA6D9E">
        <w:rPr>
          <w:rFonts w:cstheme="minorHAnsi"/>
          <w:i/>
          <w:iCs/>
          <w:sz w:val="22"/>
          <w:szCs w:val="22"/>
        </w:rPr>
        <w:t>fit into the criteria for adding or varying an exception?</w:t>
      </w:r>
    </w:p>
    <w:p w:rsidR="00DE096B" w:rsidRPr="00AA6D9E" w:rsidRDefault="00DC78B4" w:rsidP="00E91ECD">
      <w:pPr>
        <w:spacing w:before="0" w:after="240"/>
        <w:jc w:val="both"/>
        <w:rPr>
          <w:rFonts w:cstheme="minorHAnsi"/>
          <w:sz w:val="22"/>
          <w:szCs w:val="22"/>
        </w:rPr>
      </w:pPr>
      <w:r>
        <w:rPr>
          <w:rFonts w:cstheme="minorHAnsi"/>
          <w:sz w:val="22"/>
          <w:szCs w:val="22"/>
        </w:rPr>
        <w:t xml:space="preserve">A film </w:t>
      </w:r>
      <w:r w:rsidR="00CD5464" w:rsidRPr="00AA6D9E">
        <w:rPr>
          <w:rFonts w:cstheme="minorHAnsi"/>
          <w:sz w:val="22"/>
          <w:szCs w:val="22"/>
        </w:rPr>
        <w:t>produced on DVD is protected under the Act</w:t>
      </w:r>
      <w:r w:rsidR="00DE096B" w:rsidRPr="00AA6D9E">
        <w:rPr>
          <w:rFonts w:cstheme="minorHAnsi"/>
          <w:sz w:val="22"/>
          <w:szCs w:val="22"/>
        </w:rPr>
        <w:t>, in s90</w:t>
      </w:r>
      <w:r w:rsidR="00CD5464" w:rsidRPr="00AA6D9E">
        <w:rPr>
          <w:rFonts w:cstheme="minorHAnsi"/>
          <w:sz w:val="22"/>
          <w:szCs w:val="22"/>
        </w:rPr>
        <w:t xml:space="preserve">. While copying any part of this film, or the whole film, is an infringement of copyright, </w:t>
      </w:r>
      <w:r w:rsidR="00C633CE" w:rsidRPr="00AA6D9E">
        <w:rPr>
          <w:rFonts w:cstheme="minorHAnsi"/>
          <w:sz w:val="22"/>
          <w:szCs w:val="22"/>
        </w:rPr>
        <w:t xml:space="preserve">s103C </w:t>
      </w:r>
      <w:r w:rsidR="00B2394C" w:rsidRPr="00AA6D9E">
        <w:rPr>
          <w:rFonts w:cstheme="minorHAnsi"/>
          <w:sz w:val="22"/>
          <w:szCs w:val="22"/>
        </w:rPr>
        <w:t>permits</w:t>
      </w:r>
      <w:r w:rsidR="00C633CE" w:rsidRPr="00AA6D9E">
        <w:rPr>
          <w:rFonts w:cstheme="minorHAnsi"/>
          <w:sz w:val="22"/>
          <w:szCs w:val="22"/>
        </w:rPr>
        <w:t xml:space="preserve"> fair dealing</w:t>
      </w:r>
      <w:r w:rsidR="00B2394C" w:rsidRPr="00AA6D9E">
        <w:rPr>
          <w:rFonts w:cstheme="minorHAnsi"/>
          <w:sz w:val="22"/>
          <w:szCs w:val="22"/>
        </w:rPr>
        <w:t>s</w:t>
      </w:r>
      <w:r w:rsidR="00C633CE" w:rsidRPr="00AA6D9E">
        <w:rPr>
          <w:rFonts w:cstheme="minorHAnsi"/>
          <w:sz w:val="22"/>
          <w:szCs w:val="22"/>
        </w:rPr>
        <w:t xml:space="preserve"> for the purposes of research and study.</w:t>
      </w:r>
      <w:r w:rsidR="00315088">
        <w:rPr>
          <w:rFonts w:cstheme="minorHAnsi"/>
          <w:sz w:val="22"/>
          <w:szCs w:val="22"/>
        </w:rPr>
        <w:t xml:space="preserve"> Fair dealings for the purpose of criticism or </w:t>
      </w:r>
      <w:proofErr w:type="gramStart"/>
      <w:r w:rsidR="00315088">
        <w:rPr>
          <w:rFonts w:cstheme="minorHAnsi"/>
          <w:sz w:val="22"/>
          <w:szCs w:val="22"/>
        </w:rPr>
        <w:t>review,</w:t>
      </w:r>
      <w:proofErr w:type="gramEnd"/>
      <w:r w:rsidR="00315088">
        <w:rPr>
          <w:rFonts w:cstheme="minorHAnsi"/>
          <w:sz w:val="22"/>
          <w:szCs w:val="22"/>
        </w:rPr>
        <w:t xml:space="preserve"> or for the purpose of parody and satire</w:t>
      </w:r>
      <w:r w:rsidR="002A7169">
        <w:rPr>
          <w:rFonts w:cstheme="minorHAnsi"/>
          <w:sz w:val="22"/>
          <w:szCs w:val="22"/>
        </w:rPr>
        <w:t>,</w:t>
      </w:r>
      <w:r w:rsidR="00315088">
        <w:rPr>
          <w:rFonts w:cstheme="minorHAnsi"/>
          <w:sz w:val="22"/>
          <w:szCs w:val="22"/>
        </w:rPr>
        <w:t xml:space="preserve"> or reporting the</w:t>
      </w:r>
      <w:r w:rsidR="002A7169">
        <w:rPr>
          <w:rFonts w:cstheme="minorHAnsi"/>
          <w:sz w:val="22"/>
          <w:szCs w:val="22"/>
        </w:rPr>
        <w:t xml:space="preserve"> news are enumerated in ss103A to</w:t>
      </w:r>
      <w:r w:rsidR="00315088">
        <w:rPr>
          <w:rFonts w:cstheme="minorHAnsi"/>
          <w:sz w:val="22"/>
          <w:szCs w:val="22"/>
        </w:rPr>
        <w:t xml:space="preserve"> 103B.</w:t>
      </w:r>
      <w:r w:rsidR="00C633CE" w:rsidRPr="00AA6D9E">
        <w:rPr>
          <w:rFonts w:cstheme="minorHAnsi"/>
          <w:sz w:val="22"/>
          <w:szCs w:val="22"/>
        </w:rPr>
        <w:t xml:space="preserve"> The fair dealing exception is limited to purposes, rather than users. </w:t>
      </w:r>
    </w:p>
    <w:p w:rsidR="00DE096B" w:rsidRPr="00AA6D9E" w:rsidRDefault="00DE096B" w:rsidP="00E91ECD">
      <w:pPr>
        <w:jc w:val="both"/>
        <w:rPr>
          <w:rFonts w:cstheme="minorHAnsi"/>
          <w:b/>
          <w:bCs/>
          <w:sz w:val="22"/>
          <w:szCs w:val="22"/>
        </w:rPr>
      </w:pPr>
      <w:r w:rsidRPr="00AA6D9E">
        <w:rPr>
          <w:rFonts w:cstheme="minorHAnsi"/>
          <w:b/>
          <w:bCs/>
          <w:sz w:val="22"/>
          <w:szCs w:val="22"/>
        </w:rPr>
        <w:t xml:space="preserve">(D) Has an access control TPM been applied to the work? </w:t>
      </w:r>
    </w:p>
    <w:p w:rsidR="00DE096B" w:rsidRPr="00AA6D9E" w:rsidRDefault="00C633CE" w:rsidP="00E91ECD">
      <w:pPr>
        <w:spacing w:before="0" w:after="240"/>
        <w:jc w:val="both"/>
        <w:rPr>
          <w:rFonts w:cstheme="minorHAnsi"/>
          <w:sz w:val="22"/>
          <w:szCs w:val="22"/>
        </w:rPr>
      </w:pPr>
      <w:r w:rsidRPr="00AA6D9E">
        <w:rPr>
          <w:rFonts w:cstheme="minorHAnsi"/>
          <w:sz w:val="22"/>
          <w:szCs w:val="22"/>
        </w:rPr>
        <w:t>Almost all commercial films released on DVD are protected by a TPM called Content Scrambling System (CSS)</w:t>
      </w:r>
      <w:r w:rsidR="00C73FA1" w:rsidRPr="00AA6D9E">
        <w:rPr>
          <w:rFonts w:cstheme="minorHAnsi"/>
          <w:sz w:val="22"/>
          <w:szCs w:val="22"/>
        </w:rPr>
        <w:t>, which is designed to protect the copyright in films by ensuring that only players equipped with the requisite digital keys can u</w:t>
      </w:r>
      <w:r w:rsidR="00DE096B" w:rsidRPr="00AA6D9E">
        <w:rPr>
          <w:rFonts w:cstheme="minorHAnsi"/>
          <w:sz w:val="22"/>
          <w:szCs w:val="22"/>
        </w:rPr>
        <w:t>nlock the content on the DVD</w:t>
      </w:r>
      <w:r w:rsidR="00C73FA1" w:rsidRPr="00AA6D9E">
        <w:rPr>
          <w:rFonts w:cstheme="minorHAnsi"/>
          <w:sz w:val="22"/>
          <w:szCs w:val="22"/>
        </w:rPr>
        <w:t xml:space="preserve">.  </w:t>
      </w:r>
    </w:p>
    <w:p w:rsidR="00DE096B" w:rsidRPr="00AA6D9E" w:rsidRDefault="00DE096B" w:rsidP="00E91ECD">
      <w:pPr>
        <w:pStyle w:val="ListParagraph"/>
        <w:numPr>
          <w:ilvl w:val="0"/>
          <w:numId w:val="0"/>
        </w:numPr>
        <w:jc w:val="both"/>
        <w:rPr>
          <w:rFonts w:cstheme="minorHAnsi"/>
          <w:b/>
          <w:bCs/>
          <w:sz w:val="22"/>
          <w:szCs w:val="22"/>
        </w:rPr>
      </w:pPr>
      <w:r w:rsidRPr="00AA6D9E">
        <w:rPr>
          <w:rFonts w:cstheme="minorHAnsi"/>
          <w:b/>
          <w:bCs/>
          <w:sz w:val="22"/>
          <w:szCs w:val="22"/>
        </w:rPr>
        <w:t xml:space="preserve">(E) Has the use of the TPM had an adverse impact on the non-infringing use by the person or body seeking the exception, or is it likely that it will have such an impact? </w:t>
      </w:r>
    </w:p>
    <w:p w:rsidR="00322FBE" w:rsidRPr="00AA6D9E" w:rsidRDefault="00C73FA1" w:rsidP="00E91ECD">
      <w:pPr>
        <w:spacing w:before="0" w:after="240"/>
        <w:jc w:val="both"/>
        <w:rPr>
          <w:rFonts w:cstheme="minorHAnsi"/>
          <w:sz w:val="22"/>
          <w:szCs w:val="22"/>
        </w:rPr>
      </w:pPr>
      <w:r w:rsidRPr="00AA6D9E">
        <w:rPr>
          <w:rFonts w:cstheme="minorHAnsi"/>
          <w:sz w:val="22"/>
          <w:szCs w:val="22"/>
        </w:rPr>
        <w:t>The use of CSS on DVDs, while easily circumvented through software f</w:t>
      </w:r>
      <w:r w:rsidR="003045C5">
        <w:rPr>
          <w:rFonts w:cstheme="minorHAnsi"/>
          <w:sz w:val="22"/>
          <w:szCs w:val="22"/>
        </w:rPr>
        <w:t>r</w:t>
      </w:r>
      <w:r w:rsidRPr="00AA6D9E">
        <w:rPr>
          <w:rFonts w:cstheme="minorHAnsi"/>
          <w:sz w:val="22"/>
          <w:szCs w:val="22"/>
        </w:rPr>
        <w:t xml:space="preserve">eely available on the internet, means that </w:t>
      </w:r>
      <w:r w:rsidR="002A7169">
        <w:rPr>
          <w:rFonts w:cstheme="minorHAnsi"/>
          <w:sz w:val="22"/>
          <w:szCs w:val="22"/>
        </w:rPr>
        <w:t>users</w:t>
      </w:r>
      <w:r w:rsidRPr="00AA6D9E">
        <w:rPr>
          <w:rFonts w:cstheme="minorHAnsi"/>
          <w:sz w:val="22"/>
          <w:szCs w:val="22"/>
        </w:rPr>
        <w:t xml:space="preserve"> who wish to deal fairly with a legitimately purchased DVD (rather than downloading the same film without authorisation) </w:t>
      </w:r>
      <w:r w:rsidR="004C33C3" w:rsidRPr="00AA6D9E">
        <w:rPr>
          <w:rFonts w:cstheme="minorHAnsi"/>
          <w:sz w:val="22"/>
          <w:szCs w:val="22"/>
        </w:rPr>
        <w:t>are</w:t>
      </w:r>
      <w:r w:rsidRPr="00AA6D9E">
        <w:rPr>
          <w:rFonts w:cstheme="minorHAnsi"/>
          <w:sz w:val="22"/>
          <w:szCs w:val="22"/>
        </w:rPr>
        <w:t xml:space="preserve"> unable to legally extract clips from the DVD to use for the purposes of research and study. </w:t>
      </w:r>
      <w:r w:rsidR="00315088">
        <w:rPr>
          <w:rFonts w:cstheme="minorHAnsi"/>
          <w:sz w:val="22"/>
          <w:szCs w:val="22"/>
        </w:rPr>
        <w:t xml:space="preserve">Once a user is no longer a student, the ability to further </w:t>
      </w:r>
      <w:r w:rsidR="009A13B4">
        <w:rPr>
          <w:rFonts w:cstheme="minorHAnsi"/>
          <w:sz w:val="22"/>
          <w:szCs w:val="22"/>
        </w:rPr>
        <w:t>build on her skills and create new work through using extracted clips for commentary, parody, or reporting is similarly restricted.</w:t>
      </w:r>
      <w:r w:rsidR="00315088">
        <w:rPr>
          <w:rFonts w:cstheme="minorHAnsi"/>
          <w:sz w:val="22"/>
          <w:szCs w:val="22"/>
        </w:rPr>
        <w:t xml:space="preserve"> </w:t>
      </w:r>
      <w:r w:rsidR="009A13B4">
        <w:rPr>
          <w:rFonts w:cstheme="minorHAnsi"/>
          <w:sz w:val="22"/>
          <w:szCs w:val="22"/>
        </w:rPr>
        <w:t>The inability to circumvent TPMs on commercial DVDs for the purposes of fair dealing</w:t>
      </w:r>
      <w:r w:rsidRPr="00AA6D9E">
        <w:rPr>
          <w:rFonts w:cstheme="minorHAnsi"/>
          <w:sz w:val="22"/>
          <w:szCs w:val="22"/>
        </w:rPr>
        <w:t xml:space="preserve"> severely curtails the ability of a budding film-maker to </w:t>
      </w:r>
      <w:r w:rsidR="00315088">
        <w:rPr>
          <w:rFonts w:cstheme="minorHAnsi"/>
          <w:sz w:val="22"/>
          <w:szCs w:val="22"/>
        </w:rPr>
        <w:t>refine her skills and understanding by building on and finding innova</w:t>
      </w:r>
      <w:r w:rsidR="00AC1294">
        <w:rPr>
          <w:rFonts w:cstheme="minorHAnsi"/>
          <w:sz w:val="22"/>
          <w:szCs w:val="22"/>
        </w:rPr>
        <w:t>tive uses for existing material. This is</w:t>
      </w:r>
      <w:r w:rsidR="00315088">
        <w:rPr>
          <w:rFonts w:cstheme="minorHAnsi"/>
          <w:sz w:val="22"/>
          <w:szCs w:val="22"/>
        </w:rPr>
        <w:t xml:space="preserve"> despite the </w:t>
      </w:r>
      <w:r w:rsidR="00AC1294">
        <w:rPr>
          <w:rFonts w:cstheme="minorHAnsi"/>
          <w:sz w:val="22"/>
          <w:szCs w:val="22"/>
        </w:rPr>
        <w:t xml:space="preserve">presence of the </w:t>
      </w:r>
      <w:r w:rsidR="00315088">
        <w:rPr>
          <w:rFonts w:cstheme="minorHAnsi"/>
          <w:sz w:val="22"/>
          <w:szCs w:val="22"/>
        </w:rPr>
        <w:t xml:space="preserve">fair dealing exceptions </w:t>
      </w:r>
      <w:r w:rsidR="00AC1294">
        <w:rPr>
          <w:rFonts w:cstheme="minorHAnsi"/>
          <w:sz w:val="22"/>
          <w:szCs w:val="22"/>
        </w:rPr>
        <w:t>in the Act that explicitly recognise</w:t>
      </w:r>
      <w:r w:rsidR="00315088">
        <w:rPr>
          <w:rFonts w:cstheme="minorHAnsi"/>
          <w:sz w:val="22"/>
          <w:szCs w:val="22"/>
        </w:rPr>
        <w:t xml:space="preserve"> the need to use copyright material to further the creation of content under the purposes outlined in the Act. </w:t>
      </w:r>
    </w:p>
    <w:p w:rsidR="00DE096B" w:rsidRDefault="00DE096B" w:rsidP="00E91ECD">
      <w:pPr>
        <w:jc w:val="both"/>
        <w:rPr>
          <w:rFonts w:cstheme="minorHAnsi"/>
          <w:b/>
          <w:bCs/>
          <w:sz w:val="22"/>
          <w:szCs w:val="22"/>
        </w:rPr>
      </w:pPr>
      <w:r w:rsidRPr="00AA6D9E">
        <w:rPr>
          <w:rFonts w:cstheme="minorHAnsi"/>
          <w:b/>
          <w:bCs/>
          <w:sz w:val="22"/>
          <w:szCs w:val="22"/>
        </w:rPr>
        <w:t xml:space="preserve">(F) Would the exception impair the adequacy of legal protection or the effectiveness of legal remedies against the circumvention of the TPM? </w:t>
      </w:r>
    </w:p>
    <w:p w:rsidR="00D128B3" w:rsidRPr="00AA6D9E" w:rsidRDefault="00AC1294" w:rsidP="00E91ECD">
      <w:pPr>
        <w:spacing w:before="0" w:after="240"/>
        <w:jc w:val="both"/>
        <w:rPr>
          <w:rFonts w:cstheme="minorHAnsi"/>
          <w:color w:val="632423" w:themeColor="accent2" w:themeShade="80"/>
          <w:sz w:val="22"/>
          <w:szCs w:val="22"/>
        </w:rPr>
      </w:pPr>
      <w:r>
        <w:rPr>
          <w:rFonts w:cstheme="minorHAnsi"/>
          <w:sz w:val="22"/>
          <w:szCs w:val="22"/>
        </w:rPr>
        <w:t>T</w:t>
      </w:r>
      <w:r w:rsidR="00C73FA1" w:rsidRPr="00AA6D9E">
        <w:rPr>
          <w:rFonts w:cstheme="minorHAnsi"/>
          <w:sz w:val="22"/>
          <w:szCs w:val="22"/>
        </w:rPr>
        <w:t>he fair dealing exception is very narrow, being limited to the set of purposes outlined in the Act</w:t>
      </w:r>
      <w:r>
        <w:rPr>
          <w:rFonts w:cstheme="minorHAnsi"/>
          <w:sz w:val="22"/>
          <w:szCs w:val="22"/>
        </w:rPr>
        <w:t>. Therefore,</w:t>
      </w:r>
      <w:r w:rsidR="00C73FA1" w:rsidRPr="00AA6D9E">
        <w:rPr>
          <w:rFonts w:cstheme="minorHAnsi"/>
          <w:sz w:val="22"/>
          <w:szCs w:val="22"/>
        </w:rPr>
        <w:t xml:space="preserve"> an extension to the list of TPMs exceptions allowing for circumvention is </w:t>
      </w:r>
      <w:r w:rsidR="00AE5440">
        <w:rPr>
          <w:rFonts w:cstheme="minorHAnsi"/>
          <w:sz w:val="22"/>
          <w:szCs w:val="22"/>
        </w:rPr>
        <w:t xml:space="preserve">highly </w:t>
      </w:r>
      <w:r w:rsidR="00C73FA1" w:rsidRPr="00AA6D9E">
        <w:rPr>
          <w:rFonts w:cstheme="minorHAnsi"/>
          <w:sz w:val="22"/>
          <w:szCs w:val="22"/>
        </w:rPr>
        <w:t>unlikely to impair the adequacy of legal protection or the effectiveness of legal remedies against the circumvention of CSS generally. The u</w:t>
      </w:r>
      <w:r w:rsidR="008041D1">
        <w:rPr>
          <w:rFonts w:cstheme="minorHAnsi"/>
          <w:sz w:val="22"/>
          <w:szCs w:val="22"/>
        </w:rPr>
        <w:t>se of film extracts by students,</w:t>
      </w:r>
      <w:r w:rsidR="00C73FA1" w:rsidRPr="00AA6D9E">
        <w:rPr>
          <w:rFonts w:cstheme="minorHAnsi"/>
          <w:sz w:val="22"/>
          <w:szCs w:val="22"/>
        </w:rPr>
        <w:t xml:space="preserve"> researchers</w:t>
      </w:r>
      <w:r w:rsidR="008041D1">
        <w:rPr>
          <w:rFonts w:cstheme="minorHAnsi"/>
          <w:sz w:val="22"/>
          <w:szCs w:val="22"/>
        </w:rPr>
        <w:t>, and other users</w:t>
      </w:r>
      <w:r w:rsidR="00C73FA1" w:rsidRPr="00AA6D9E">
        <w:rPr>
          <w:rFonts w:cstheme="minorHAnsi"/>
          <w:sz w:val="22"/>
          <w:szCs w:val="22"/>
        </w:rPr>
        <w:t xml:space="preserve"> is unlikely to prejudice the interests of the copyright holder as the extracts that will be used are </w:t>
      </w:r>
      <w:r w:rsidR="003B01DC" w:rsidRPr="00AA6D9E">
        <w:rPr>
          <w:rFonts w:cstheme="minorHAnsi"/>
          <w:sz w:val="22"/>
          <w:szCs w:val="22"/>
        </w:rPr>
        <w:t>too small to licence, and in many cases where the user has legitimately acquired the DVD, the right</w:t>
      </w:r>
      <w:r w:rsidR="00713EC7" w:rsidRPr="00AA6D9E">
        <w:rPr>
          <w:rFonts w:cstheme="minorHAnsi"/>
          <w:sz w:val="22"/>
          <w:szCs w:val="22"/>
        </w:rPr>
        <w:t>s</w:t>
      </w:r>
      <w:r w:rsidR="003B01DC" w:rsidRPr="00AA6D9E">
        <w:rPr>
          <w:rFonts w:cstheme="minorHAnsi"/>
          <w:sz w:val="22"/>
          <w:szCs w:val="22"/>
        </w:rPr>
        <w:t xml:space="preserve"> holder has already received remuneration for the work. </w:t>
      </w:r>
      <w:r w:rsidR="00C73FA1" w:rsidRPr="00AA6D9E">
        <w:rPr>
          <w:rFonts w:cstheme="minorHAnsi"/>
          <w:sz w:val="22"/>
          <w:szCs w:val="22"/>
        </w:rPr>
        <w:t xml:space="preserve"> </w:t>
      </w:r>
    </w:p>
    <w:p w:rsidR="009A13B4" w:rsidRDefault="009A13B4" w:rsidP="00E91ECD">
      <w:pPr>
        <w:spacing w:before="0" w:after="200"/>
        <w:jc w:val="both"/>
        <w:rPr>
          <w:rFonts w:cstheme="minorHAnsi"/>
          <w:b/>
          <w:sz w:val="28"/>
          <w:szCs w:val="28"/>
          <w:u w:val="single"/>
        </w:rPr>
      </w:pPr>
      <w:r>
        <w:rPr>
          <w:rFonts w:cstheme="minorHAnsi"/>
          <w:b/>
          <w:sz w:val="28"/>
          <w:szCs w:val="28"/>
          <w:u w:val="single"/>
        </w:rPr>
        <w:br w:type="page"/>
      </w:r>
    </w:p>
    <w:p w:rsidR="00EE6AFF" w:rsidRPr="00AA6D9E" w:rsidRDefault="00EE6AFF" w:rsidP="00E91ECD">
      <w:pPr>
        <w:spacing w:after="120"/>
        <w:jc w:val="both"/>
        <w:rPr>
          <w:rFonts w:cstheme="minorHAnsi"/>
          <w:sz w:val="22"/>
          <w:szCs w:val="22"/>
        </w:rPr>
      </w:pPr>
      <w:r w:rsidRPr="00AA6D9E">
        <w:rPr>
          <w:rFonts w:cstheme="minorHAnsi"/>
          <w:b/>
          <w:sz w:val="28"/>
          <w:szCs w:val="28"/>
          <w:u w:val="single"/>
        </w:rPr>
        <w:lastRenderedPageBreak/>
        <w:t xml:space="preserve">Part </w:t>
      </w:r>
      <w:r w:rsidR="00606536" w:rsidRPr="00AA6D9E">
        <w:rPr>
          <w:rFonts w:cstheme="minorHAnsi"/>
          <w:b/>
          <w:sz w:val="28"/>
          <w:szCs w:val="28"/>
          <w:u w:val="single"/>
        </w:rPr>
        <w:t>I</w:t>
      </w:r>
      <w:r w:rsidRPr="00AA6D9E">
        <w:rPr>
          <w:rFonts w:cstheme="minorHAnsi"/>
          <w:b/>
          <w:sz w:val="28"/>
          <w:szCs w:val="28"/>
          <w:u w:val="single"/>
        </w:rPr>
        <w:t xml:space="preserve">I: </w:t>
      </w:r>
      <w:r w:rsidR="00367053" w:rsidRPr="00AA6D9E">
        <w:rPr>
          <w:rFonts w:cstheme="minorHAnsi"/>
          <w:b/>
          <w:sz w:val="28"/>
          <w:szCs w:val="28"/>
          <w:u w:val="single"/>
        </w:rPr>
        <w:t>Exceptions to TPM circumvention facilitating the a</w:t>
      </w:r>
      <w:r w:rsidRPr="00AA6D9E">
        <w:rPr>
          <w:rFonts w:cstheme="minorHAnsi"/>
          <w:b/>
          <w:bCs/>
          <w:sz w:val="28"/>
          <w:szCs w:val="28"/>
          <w:u w:val="single"/>
        </w:rPr>
        <w:t>ctivities of Libraries, Archives and Cultural institutions</w:t>
      </w:r>
    </w:p>
    <w:p w:rsidR="0023388F" w:rsidRPr="00AA6D9E" w:rsidRDefault="00183FFF" w:rsidP="00E91ECD">
      <w:pPr>
        <w:spacing w:before="0" w:after="0"/>
        <w:jc w:val="both"/>
        <w:rPr>
          <w:rFonts w:cstheme="minorHAnsi"/>
          <w:sz w:val="22"/>
          <w:szCs w:val="22"/>
        </w:rPr>
      </w:pPr>
      <w:r w:rsidRPr="00AA6D9E">
        <w:rPr>
          <w:rFonts w:cstheme="minorHAnsi"/>
          <w:sz w:val="22"/>
          <w:szCs w:val="22"/>
        </w:rPr>
        <w:t xml:space="preserve">The ADA and ALCC </w:t>
      </w:r>
      <w:r w:rsidR="00EF7709">
        <w:rPr>
          <w:rFonts w:cstheme="minorHAnsi"/>
          <w:sz w:val="22"/>
          <w:szCs w:val="22"/>
        </w:rPr>
        <w:t>see</w:t>
      </w:r>
      <w:r w:rsidR="00D637FD">
        <w:rPr>
          <w:rFonts w:cstheme="minorHAnsi"/>
          <w:sz w:val="22"/>
          <w:szCs w:val="22"/>
        </w:rPr>
        <w:t>k</w:t>
      </w:r>
      <w:r w:rsidR="00EF7709">
        <w:rPr>
          <w:rFonts w:cstheme="minorHAnsi"/>
          <w:sz w:val="22"/>
          <w:szCs w:val="22"/>
        </w:rPr>
        <w:t xml:space="preserve"> the</w:t>
      </w:r>
      <w:r w:rsidR="0023388F" w:rsidRPr="00AA6D9E">
        <w:rPr>
          <w:rFonts w:cstheme="minorHAnsi"/>
          <w:sz w:val="22"/>
          <w:szCs w:val="22"/>
        </w:rPr>
        <w:t xml:space="preserve"> expansion of exceptions to TPM liability </w:t>
      </w:r>
      <w:r w:rsidR="00E91ECD">
        <w:rPr>
          <w:rFonts w:cstheme="minorHAnsi"/>
          <w:sz w:val="22"/>
          <w:szCs w:val="22"/>
        </w:rPr>
        <w:t>to</w:t>
      </w:r>
      <w:r w:rsidR="00E91ECD" w:rsidRPr="00AA6D9E">
        <w:rPr>
          <w:rFonts w:cstheme="minorHAnsi"/>
          <w:sz w:val="22"/>
          <w:szCs w:val="22"/>
        </w:rPr>
        <w:t xml:space="preserve"> </w:t>
      </w:r>
      <w:r w:rsidR="0023388F" w:rsidRPr="00AA6D9E">
        <w:rPr>
          <w:rFonts w:cstheme="minorHAnsi"/>
          <w:sz w:val="22"/>
          <w:szCs w:val="22"/>
        </w:rPr>
        <w:t>support libraries, archives and cultural institutions in their public interest missions. The Act recognises the need for the</w:t>
      </w:r>
      <w:r w:rsidR="002B42B2" w:rsidRPr="00AA6D9E">
        <w:rPr>
          <w:rFonts w:cstheme="minorHAnsi"/>
          <w:sz w:val="22"/>
          <w:szCs w:val="22"/>
        </w:rPr>
        <w:t xml:space="preserve">se institutions to occasionally exercise what would normally be the exclusive rights of the copyright holder, in order to fulfil their essential functions. </w:t>
      </w:r>
      <w:r w:rsidR="00B2394C" w:rsidRPr="00AA6D9E">
        <w:rPr>
          <w:rFonts w:cstheme="minorHAnsi"/>
          <w:sz w:val="22"/>
          <w:szCs w:val="22"/>
        </w:rPr>
        <w:t xml:space="preserve">Accordingly, </w:t>
      </w:r>
      <w:r w:rsidR="00D637FD">
        <w:rPr>
          <w:rFonts w:cstheme="minorHAnsi"/>
          <w:sz w:val="22"/>
          <w:szCs w:val="22"/>
        </w:rPr>
        <w:t xml:space="preserve">the existing </w:t>
      </w:r>
      <w:r w:rsidR="00F55B59">
        <w:rPr>
          <w:rFonts w:cstheme="minorHAnsi"/>
          <w:sz w:val="22"/>
          <w:szCs w:val="22"/>
        </w:rPr>
        <w:t xml:space="preserve">library exceptions </w:t>
      </w:r>
      <w:r w:rsidR="00E91ECD">
        <w:rPr>
          <w:rFonts w:cstheme="minorHAnsi"/>
          <w:sz w:val="22"/>
          <w:szCs w:val="22"/>
        </w:rPr>
        <w:t xml:space="preserve">were expanded in 2006 </w:t>
      </w:r>
      <w:r w:rsidR="00F55B59">
        <w:rPr>
          <w:rFonts w:cstheme="minorHAnsi"/>
          <w:sz w:val="22"/>
          <w:szCs w:val="22"/>
        </w:rPr>
        <w:t xml:space="preserve">to include s200AB, which covers </w:t>
      </w:r>
      <w:r w:rsidR="00EF7709">
        <w:rPr>
          <w:rFonts w:cstheme="minorHAnsi"/>
          <w:sz w:val="22"/>
          <w:szCs w:val="22"/>
        </w:rPr>
        <w:t>wider uses</w:t>
      </w:r>
      <w:r w:rsidR="00EF7709" w:rsidRPr="00EF7709">
        <w:rPr>
          <w:rFonts w:cstheme="minorHAnsi"/>
          <w:sz w:val="22"/>
          <w:szCs w:val="22"/>
        </w:rPr>
        <w:t xml:space="preserve"> </w:t>
      </w:r>
      <w:r w:rsidR="00EF7709">
        <w:rPr>
          <w:rFonts w:cstheme="minorHAnsi"/>
          <w:sz w:val="22"/>
          <w:szCs w:val="22"/>
        </w:rPr>
        <w:t>“</w:t>
      </w:r>
      <w:r w:rsidR="00EF7709" w:rsidRPr="00EF7709">
        <w:rPr>
          <w:rFonts w:cstheme="minorHAnsi"/>
          <w:sz w:val="22"/>
          <w:szCs w:val="22"/>
        </w:rPr>
        <w:t>made for the purpose of maintaining or operating the library or </w:t>
      </w:r>
      <w:r w:rsidR="00E91ECD" w:rsidRPr="00E91ECD">
        <w:rPr>
          <w:rFonts w:cstheme="minorHAnsi"/>
          <w:sz w:val="22"/>
          <w:szCs w:val="22"/>
        </w:rPr>
        <w:t>archives</w:t>
      </w:r>
      <w:r w:rsidR="00EF7709">
        <w:rPr>
          <w:rFonts w:cstheme="minorHAnsi"/>
          <w:sz w:val="22"/>
          <w:szCs w:val="22"/>
        </w:rPr>
        <w:t>”</w:t>
      </w:r>
      <w:r w:rsidR="00E91ECD">
        <w:rPr>
          <w:rFonts w:cstheme="minorHAnsi"/>
          <w:sz w:val="22"/>
          <w:szCs w:val="22"/>
        </w:rPr>
        <w:t>.</w:t>
      </w:r>
    </w:p>
    <w:p w:rsidR="00431C43" w:rsidRPr="00AA6D9E" w:rsidRDefault="00431C43" w:rsidP="00E91ECD">
      <w:pPr>
        <w:spacing w:before="0" w:after="0"/>
        <w:jc w:val="both"/>
        <w:rPr>
          <w:rFonts w:cstheme="minorHAnsi"/>
          <w:sz w:val="22"/>
          <w:szCs w:val="22"/>
        </w:rPr>
      </w:pPr>
      <w:r w:rsidRPr="00AA6D9E">
        <w:rPr>
          <w:rFonts w:cstheme="minorHAnsi"/>
          <w:sz w:val="22"/>
          <w:szCs w:val="22"/>
        </w:rPr>
        <w:t xml:space="preserve"> </w:t>
      </w:r>
    </w:p>
    <w:p w:rsidR="003B3307" w:rsidRPr="00AA6D9E" w:rsidRDefault="00EF7709" w:rsidP="00E91ECD">
      <w:pPr>
        <w:spacing w:before="0" w:after="0"/>
        <w:jc w:val="both"/>
        <w:rPr>
          <w:rFonts w:cstheme="minorHAnsi"/>
          <w:sz w:val="22"/>
          <w:szCs w:val="22"/>
        </w:rPr>
      </w:pPr>
      <w:r>
        <w:rPr>
          <w:rFonts w:cstheme="minorHAnsi"/>
          <w:sz w:val="22"/>
          <w:szCs w:val="22"/>
        </w:rPr>
        <w:t>Acknowledging the</w:t>
      </w:r>
      <w:r w:rsidR="006E22BE">
        <w:rPr>
          <w:rFonts w:cstheme="minorHAnsi"/>
          <w:sz w:val="22"/>
          <w:szCs w:val="22"/>
        </w:rPr>
        <w:t xml:space="preserve"> existing exceptions</w:t>
      </w:r>
      <w:r>
        <w:rPr>
          <w:rFonts w:cstheme="minorHAnsi"/>
          <w:sz w:val="22"/>
          <w:szCs w:val="22"/>
        </w:rPr>
        <w:t xml:space="preserve"> allowing libraries to circumvent TPMs</w:t>
      </w:r>
      <w:r w:rsidR="008041D1">
        <w:rPr>
          <w:rFonts w:cstheme="minorHAnsi"/>
          <w:sz w:val="22"/>
          <w:szCs w:val="22"/>
        </w:rPr>
        <w:t>,</w:t>
      </w:r>
      <w:r>
        <w:rPr>
          <w:rFonts w:cstheme="minorHAnsi"/>
          <w:sz w:val="22"/>
          <w:szCs w:val="22"/>
        </w:rPr>
        <w:t xml:space="preserve"> contained in the regulations</w:t>
      </w:r>
      <w:r w:rsidR="006E22BE">
        <w:rPr>
          <w:rFonts w:cstheme="minorHAnsi"/>
          <w:sz w:val="22"/>
          <w:szCs w:val="22"/>
        </w:rPr>
        <w:t>,</w:t>
      </w:r>
      <w:r>
        <w:rPr>
          <w:rFonts w:cstheme="minorHAnsi"/>
          <w:sz w:val="22"/>
          <w:szCs w:val="22"/>
        </w:rPr>
        <w:t xml:space="preserve"> </w:t>
      </w:r>
      <w:r w:rsidR="006E22BE">
        <w:rPr>
          <w:rFonts w:cstheme="minorHAnsi"/>
          <w:sz w:val="22"/>
          <w:szCs w:val="22"/>
        </w:rPr>
        <w:t>t</w:t>
      </w:r>
      <w:r w:rsidR="003B3307" w:rsidRPr="00AA6D9E">
        <w:rPr>
          <w:rFonts w:cstheme="minorHAnsi"/>
          <w:sz w:val="22"/>
          <w:szCs w:val="22"/>
        </w:rPr>
        <w:t>he ADA and ALCC support the introduction of a circumvention exception allowing libraries, archives and cultur</w:t>
      </w:r>
      <w:r w:rsidR="00582E31">
        <w:rPr>
          <w:rFonts w:cstheme="minorHAnsi"/>
          <w:sz w:val="22"/>
          <w:szCs w:val="22"/>
        </w:rPr>
        <w:t>al institutions to circumvent a</w:t>
      </w:r>
      <w:r w:rsidR="003B3307" w:rsidRPr="00AA6D9E">
        <w:rPr>
          <w:rFonts w:cstheme="minorHAnsi"/>
          <w:sz w:val="22"/>
          <w:szCs w:val="22"/>
        </w:rPr>
        <w:t xml:space="preserve"> TPM for the purpose of undertaking an activity under the flexible dealing provision in s200AB of the Act. </w:t>
      </w:r>
    </w:p>
    <w:p w:rsidR="003B3307" w:rsidRPr="00AA6D9E" w:rsidRDefault="003B3307" w:rsidP="00E91ECD">
      <w:pPr>
        <w:spacing w:before="0" w:after="0"/>
        <w:jc w:val="both"/>
        <w:rPr>
          <w:rFonts w:cstheme="minorHAnsi"/>
          <w:sz w:val="22"/>
          <w:szCs w:val="22"/>
        </w:rPr>
      </w:pPr>
    </w:p>
    <w:p w:rsidR="003B3307" w:rsidRPr="00AA6D9E" w:rsidRDefault="003B3307" w:rsidP="00E91ECD">
      <w:pPr>
        <w:spacing w:before="0" w:after="0"/>
        <w:jc w:val="both"/>
        <w:rPr>
          <w:rFonts w:cstheme="minorHAnsi"/>
          <w:sz w:val="22"/>
          <w:szCs w:val="22"/>
        </w:rPr>
      </w:pPr>
      <w:r w:rsidRPr="00AA6D9E">
        <w:rPr>
          <w:rFonts w:cstheme="minorHAnsi"/>
          <w:sz w:val="22"/>
          <w:szCs w:val="22"/>
        </w:rPr>
        <w:t xml:space="preserve">The flexible dealing provision was introduced after the most recent review of TPMs exceptions in 2005. It recognises the need for libraries, archives, cultural and educational institutions, and persons and organisations assisting persons with a disability to undertake a wider range of activities in the digital environment to fulfil their mandates than are currently allowed under specific exceptions in the Act. </w:t>
      </w:r>
    </w:p>
    <w:p w:rsidR="006E22BE" w:rsidRDefault="006E22BE" w:rsidP="00E91ECD">
      <w:pPr>
        <w:spacing w:before="0" w:after="0"/>
        <w:jc w:val="both"/>
        <w:rPr>
          <w:rFonts w:cstheme="minorHAnsi"/>
          <w:sz w:val="22"/>
          <w:szCs w:val="22"/>
        </w:rPr>
      </w:pPr>
    </w:p>
    <w:p w:rsidR="00A14790" w:rsidRPr="00AA6D9E" w:rsidRDefault="00A14790" w:rsidP="00E91ECD">
      <w:pPr>
        <w:spacing w:before="0" w:after="0"/>
        <w:jc w:val="both"/>
        <w:rPr>
          <w:rFonts w:cstheme="minorHAnsi"/>
          <w:sz w:val="22"/>
          <w:szCs w:val="22"/>
        </w:rPr>
      </w:pPr>
      <w:r w:rsidRPr="00AA6D9E">
        <w:rPr>
          <w:rFonts w:cstheme="minorHAnsi"/>
          <w:sz w:val="22"/>
          <w:szCs w:val="22"/>
        </w:rPr>
        <w:t xml:space="preserve">Libraries currently rely on s200AB to undertake format shifting activities that may not fall into the specific exceptions for preservation activities, such as the creation of back-up copies of works contained in a computer program. The provision also allows libraries, and other organisations to provide works to people with a disability in accessible formats. </w:t>
      </w:r>
    </w:p>
    <w:p w:rsidR="00A14790" w:rsidRPr="00AA6D9E" w:rsidRDefault="00A14790" w:rsidP="00E91ECD">
      <w:pPr>
        <w:spacing w:before="0" w:after="0"/>
        <w:jc w:val="both"/>
        <w:rPr>
          <w:rFonts w:cstheme="minorHAnsi"/>
          <w:sz w:val="22"/>
          <w:szCs w:val="22"/>
        </w:rPr>
      </w:pPr>
    </w:p>
    <w:p w:rsidR="00A14790" w:rsidRPr="00AA6D9E" w:rsidRDefault="00A14790" w:rsidP="00E91ECD">
      <w:pPr>
        <w:spacing w:before="0"/>
        <w:jc w:val="both"/>
        <w:rPr>
          <w:rFonts w:cstheme="minorHAnsi"/>
          <w:sz w:val="22"/>
          <w:szCs w:val="22"/>
        </w:rPr>
      </w:pPr>
      <w:r w:rsidRPr="00AA6D9E">
        <w:rPr>
          <w:rFonts w:cstheme="minorHAnsi"/>
          <w:i/>
          <w:iCs/>
          <w:sz w:val="22"/>
          <w:szCs w:val="22"/>
        </w:rPr>
        <w:t xml:space="preserve">How does an exception allowing circumvention to perform an activity covered </w:t>
      </w:r>
      <w:proofErr w:type="gramStart"/>
      <w:r w:rsidR="00582E31">
        <w:rPr>
          <w:rFonts w:cstheme="minorHAnsi"/>
          <w:i/>
          <w:iCs/>
          <w:sz w:val="22"/>
          <w:szCs w:val="22"/>
        </w:rPr>
        <w:t>s200AB(</w:t>
      </w:r>
      <w:proofErr w:type="gramEnd"/>
      <w:r w:rsidR="00582E31">
        <w:rPr>
          <w:rFonts w:cstheme="minorHAnsi"/>
          <w:i/>
          <w:iCs/>
          <w:sz w:val="22"/>
          <w:szCs w:val="22"/>
        </w:rPr>
        <w:t>2) or (4) comply with</w:t>
      </w:r>
      <w:r w:rsidRPr="00AA6D9E">
        <w:rPr>
          <w:rFonts w:cstheme="minorHAnsi"/>
          <w:i/>
          <w:iCs/>
          <w:sz w:val="22"/>
          <w:szCs w:val="22"/>
        </w:rPr>
        <w:t xml:space="preserve"> the criteria for adding or varying an exception?</w:t>
      </w:r>
    </w:p>
    <w:p w:rsidR="00A14790" w:rsidRPr="00AA6D9E" w:rsidRDefault="00740F86" w:rsidP="00E91ECD">
      <w:pPr>
        <w:spacing w:before="0"/>
        <w:jc w:val="both"/>
        <w:rPr>
          <w:rFonts w:cstheme="minorHAnsi"/>
          <w:sz w:val="22"/>
          <w:szCs w:val="22"/>
        </w:rPr>
      </w:pPr>
      <w:r w:rsidRPr="00AA6D9E">
        <w:rPr>
          <w:rFonts w:cstheme="minorHAnsi"/>
          <w:sz w:val="22"/>
          <w:szCs w:val="22"/>
        </w:rPr>
        <w:t xml:space="preserve">The ADA and ALCC are requesting an exception allowing </w:t>
      </w:r>
      <w:r w:rsidR="002555BF" w:rsidRPr="00AA6D9E">
        <w:rPr>
          <w:rFonts w:cstheme="minorHAnsi"/>
          <w:sz w:val="22"/>
          <w:szCs w:val="22"/>
        </w:rPr>
        <w:t>TPM</w:t>
      </w:r>
      <w:r w:rsidR="002555BF">
        <w:rPr>
          <w:rFonts w:cstheme="minorHAnsi"/>
          <w:sz w:val="22"/>
          <w:szCs w:val="22"/>
        </w:rPr>
        <w:t xml:space="preserve"> </w:t>
      </w:r>
      <w:r w:rsidRPr="00AA6D9E">
        <w:rPr>
          <w:rFonts w:cstheme="minorHAnsi"/>
          <w:sz w:val="22"/>
          <w:szCs w:val="22"/>
        </w:rPr>
        <w:t xml:space="preserve">circumvention </w:t>
      </w:r>
      <w:r w:rsidR="002555BF" w:rsidRPr="00AA6D9E">
        <w:rPr>
          <w:rFonts w:cstheme="minorHAnsi"/>
          <w:sz w:val="22"/>
          <w:szCs w:val="22"/>
        </w:rPr>
        <w:t xml:space="preserve">by libraries, archives and cultural institutions </w:t>
      </w:r>
      <w:r w:rsidR="00B534D6" w:rsidRPr="00AA6D9E">
        <w:rPr>
          <w:rFonts w:cstheme="minorHAnsi"/>
          <w:sz w:val="22"/>
          <w:szCs w:val="22"/>
        </w:rPr>
        <w:t xml:space="preserve">on works in electronic formats covered by s200AB(2) and (4), in the situations envisaged by the provision. </w:t>
      </w:r>
      <w:r w:rsidR="007304EC" w:rsidRPr="00AA6D9E">
        <w:rPr>
          <w:rFonts w:cstheme="minorHAnsi"/>
          <w:sz w:val="22"/>
          <w:szCs w:val="22"/>
        </w:rPr>
        <w:t xml:space="preserve">The nature of the requirement in </w:t>
      </w:r>
      <w:proofErr w:type="gramStart"/>
      <w:r w:rsidR="007304EC" w:rsidRPr="00AA6D9E">
        <w:rPr>
          <w:rFonts w:cstheme="minorHAnsi"/>
          <w:sz w:val="22"/>
          <w:szCs w:val="22"/>
        </w:rPr>
        <w:t>s200AB(</w:t>
      </w:r>
      <w:proofErr w:type="gramEnd"/>
      <w:r w:rsidR="007304EC" w:rsidRPr="00AA6D9E">
        <w:rPr>
          <w:rFonts w:cstheme="minorHAnsi"/>
          <w:sz w:val="22"/>
          <w:szCs w:val="22"/>
        </w:rPr>
        <w:t>1)(a) confines the particular class of works or other subject matter to that corresponding to a ‘special case’. B</w:t>
      </w:r>
      <w:r w:rsidR="00D21819" w:rsidRPr="00AA6D9E">
        <w:rPr>
          <w:rFonts w:cstheme="minorHAnsi"/>
          <w:sz w:val="22"/>
          <w:szCs w:val="22"/>
        </w:rPr>
        <w:t>ut for the application of s200AB</w:t>
      </w:r>
      <w:r w:rsidR="007304EC" w:rsidRPr="00AA6D9E">
        <w:rPr>
          <w:rFonts w:cstheme="minorHAnsi"/>
          <w:sz w:val="22"/>
          <w:szCs w:val="22"/>
        </w:rPr>
        <w:t>, a use of material in this class would otherwise be an infringement of copyright.</w:t>
      </w:r>
    </w:p>
    <w:p w:rsidR="008041D1" w:rsidRDefault="007304EC" w:rsidP="00E91ECD">
      <w:pPr>
        <w:spacing w:before="0" w:after="0"/>
        <w:jc w:val="both"/>
        <w:rPr>
          <w:rFonts w:cstheme="minorHAnsi"/>
          <w:sz w:val="22"/>
          <w:szCs w:val="22"/>
        </w:rPr>
      </w:pPr>
      <w:r w:rsidRPr="00AA6D9E">
        <w:rPr>
          <w:rFonts w:cstheme="minorHAnsi"/>
          <w:sz w:val="22"/>
          <w:szCs w:val="22"/>
        </w:rPr>
        <w:t>The acts permitted by s200AB(2) and (4) are limited to ‘a body administering a library or archives’, and a person with, or a person or body assist</w:t>
      </w:r>
      <w:r w:rsidR="00D21819" w:rsidRPr="00AA6D9E">
        <w:rPr>
          <w:rFonts w:cstheme="minorHAnsi"/>
          <w:sz w:val="22"/>
          <w:szCs w:val="22"/>
        </w:rPr>
        <w:t>ing a person with a disability, including libraries. The ALCC is the peak consultative body representing libraries as they are affected by copyright issues, and therefore seeks this exception on behalf of libraries.</w:t>
      </w:r>
    </w:p>
    <w:p w:rsidR="008041D1" w:rsidRDefault="008041D1" w:rsidP="00E91ECD">
      <w:pPr>
        <w:spacing w:before="0" w:after="0"/>
        <w:jc w:val="both"/>
        <w:rPr>
          <w:rFonts w:cstheme="minorHAnsi"/>
          <w:sz w:val="22"/>
          <w:szCs w:val="22"/>
        </w:rPr>
      </w:pPr>
    </w:p>
    <w:p w:rsidR="00D21819" w:rsidRPr="00AA6D9E" w:rsidRDefault="00D21819" w:rsidP="00E91ECD">
      <w:pPr>
        <w:spacing w:before="0" w:after="0"/>
        <w:jc w:val="both"/>
        <w:rPr>
          <w:rFonts w:cstheme="minorHAnsi"/>
          <w:sz w:val="22"/>
          <w:szCs w:val="22"/>
        </w:rPr>
      </w:pPr>
      <w:r w:rsidRPr="00AA6D9E">
        <w:rPr>
          <w:rFonts w:cstheme="minorHAnsi"/>
          <w:sz w:val="22"/>
          <w:szCs w:val="22"/>
        </w:rPr>
        <w:t xml:space="preserve"> </w:t>
      </w:r>
    </w:p>
    <w:p w:rsidR="00A14790" w:rsidRPr="00AA6D9E" w:rsidRDefault="00A14790" w:rsidP="00E91ECD">
      <w:pPr>
        <w:spacing w:before="0" w:after="0"/>
        <w:jc w:val="both"/>
        <w:rPr>
          <w:rFonts w:cstheme="minorHAnsi"/>
          <w:sz w:val="22"/>
          <w:szCs w:val="22"/>
        </w:rPr>
      </w:pPr>
    </w:p>
    <w:p w:rsidR="00A14790" w:rsidRPr="00AA6D9E" w:rsidRDefault="00A14790" w:rsidP="00E91ECD">
      <w:pPr>
        <w:spacing w:before="0" w:after="0"/>
        <w:jc w:val="both"/>
        <w:rPr>
          <w:rFonts w:cstheme="minorHAnsi"/>
          <w:b/>
          <w:bCs/>
          <w:sz w:val="22"/>
          <w:szCs w:val="22"/>
        </w:rPr>
      </w:pPr>
      <w:r w:rsidRPr="00AA6D9E">
        <w:rPr>
          <w:rFonts w:cstheme="minorHAnsi"/>
          <w:b/>
          <w:bCs/>
          <w:sz w:val="22"/>
          <w:szCs w:val="22"/>
        </w:rPr>
        <w:lastRenderedPageBreak/>
        <w:t xml:space="preserve">(D) Has an access control TPM been applied to the work? </w:t>
      </w:r>
    </w:p>
    <w:p w:rsidR="00A14790" w:rsidRPr="00AA6D9E" w:rsidRDefault="00D21819" w:rsidP="00E91ECD">
      <w:pPr>
        <w:spacing w:before="0" w:after="0"/>
        <w:jc w:val="both"/>
        <w:rPr>
          <w:rFonts w:cstheme="minorHAnsi"/>
          <w:sz w:val="22"/>
          <w:szCs w:val="22"/>
        </w:rPr>
      </w:pPr>
      <w:r w:rsidRPr="00AA6D9E">
        <w:rPr>
          <w:rFonts w:cstheme="minorHAnsi"/>
          <w:sz w:val="22"/>
          <w:szCs w:val="22"/>
        </w:rPr>
        <w:t xml:space="preserve">TPMs are increasingly applied to works and other subject matter that libraries and archives seek to use under s200AB. </w:t>
      </w:r>
    </w:p>
    <w:p w:rsidR="000E0900" w:rsidRPr="00AA6D9E" w:rsidRDefault="000E0900" w:rsidP="00E91ECD">
      <w:pPr>
        <w:pStyle w:val="ListParagraph"/>
        <w:numPr>
          <w:ilvl w:val="0"/>
          <w:numId w:val="14"/>
        </w:numPr>
        <w:spacing w:before="0" w:after="0"/>
        <w:jc w:val="both"/>
        <w:rPr>
          <w:rFonts w:cstheme="minorHAnsi"/>
          <w:sz w:val="22"/>
          <w:szCs w:val="22"/>
        </w:rPr>
      </w:pPr>
      <w:r w:rsidRPr="00AA6D9E">
        <w:rPr>
          <w:rFonts w:cstheme="minorHAnsi"/>
          <w:sz w:val="22"/>
          <w:szCs w:val="22"/>
        </w:rPr>
        <w:t>Libraries collect</w:t>
      </w:r>
      <w:r w:rsidR="00D21819" w:rsidRPr="00AA6D9E">
        <w:rPr>
          <w:rFonts w:cstheme="minorHAnsi"/>
          <w:sz w:val="22"/>
          <w:szCs w:val="22"/>
        </w:rPr>
        <w:t xml:space="preserve"> material </w:t>
      </w:r>
      <w:r w:rsidRPr="00AA6D9E">
        <w:rPr>
          <w:rFonts w:cstheme="minorHAnsi"/>
          <w:sz w:val="22"/>
          <w:szCs w:val="22"/>
        </w:rPr>
        <w:t xml:space="preserve">contained on CD-ROM or other computer programs that date back to the 1990s, and even earlier on formats such as floppy discs. Many of the files on these media are contained in proprietary or encrypted formats. Others require CD keys and passwords to access the material. </w:t>
      </w:r>
    </w:p>
    <w:p w:rsidR="00D21819" w:rsidRDefault="000E0900" w:rsidP="00E91ECD">
      <w:pPr>
        <w:pStyle w:val="ListParagraph"/>
        <w:numPr>
          <w:ilvl w:val="0"/>
          <w:numId w:val="14"/>
        </w:numPr>
        <w:spacing w:before="0" w:after="0"/>
        <w:jc w:val="both"/>
        <w:rPr>
          <w:rFonts w:cstheme="minorHAnsi"/>
          <w:sz w:val="22"/>
          <w:szCs w:val="22"/>
        </w:rPr>
      </w:pPr>
      <w:r w:rsidRPr="00AA6D9E">
        <w:rPr>
          <w:rFonts w:cstheme="minorHAnsi"/>
          <w:sz w:val="22"/>
          <w:szCs w:val="22"/>
        </w:rPr>
        <w:t xml:space="preserve"> </w:t>
      </w:r>
      <w:proofErr w:type="gramStart"/>
      <w:r w:rsidRPr="00AA6D9E">
        <w:rPr>
          <w:rFonts w:cstheme="minorHAnsi"/>
          <w:sz w:val="22"/>
          <w:szCs w:val="22"/>
        </w:rPr>
        <w:t>eBooks</w:t>
      </w:r>
      <w:proofErr w:type="gramEnd"/>
      <w:r w:rsidRPr="00AA6D9E">
        <w:rPr>
          <w:rFonts w:cstheme="minorHAnsi"/>
          <w:sz w:val="22"/>
          <w:szCs w:val="22"/>
        </w:rPr>
        <w:t xml:space="preserve"> and articles in PDF format in a Library’s collection are generally now protected by DRM</w:t>
      </w:r>
      <w:r w:rsidR="002555BF">
        <w:rPr>
          <w:rFonts w:cstheme="minorHAnsi"/>
          <w:sz w:val="22"/>
          <w:szCs w:val="22"/>
        </w:rPr>
        <w:t xml:space="preserve"> or encrypted in ways</w:t>
      </w:r>
      <w:r w:rsidRPr="00AA6D9E">
        <w:rPr>
          <w:rFonts w:cstheme="minorHAnsi"/>
          <w:sz w:val="22"/>
          <w:szCs w:val="22"/>
        </w:rPr>
        <w:t xml:space="preserve"> that may constrain access to </w:t>
      </w:r>
      <w:r w:rsidR="002555BF">
        <w:rPr>
          <w:rFonts w:cstheme="minorHAnsi"/>
          <w:sz w:val="22"/>
          <w:szCs w:val="22"/>
        </w:rPr>
        <w:t xml:space="preserve">the work to </w:t>
      </w:r>
      <w:r w:rsidRPr="00AA6D9E">
        <w:rPr>
          <w:rFonts w:cstheme="minorHAnsi"/>
          <w:sz w:val="22"/>
          <w:szCs w:val="22"/>
        </w:rPr>
        <w:t>proprietary software, restrict access to the materi</w:t>
      </w:r>
      <w:r w:rsidR="002713FC" w:rsidRPr="00AA6D9E">
        <w:rPr>
          <w:rFonts w:cstheme="minorHAnsi"/>
          <w:sz w:val="22"/>
          <w:szCs w:val="22"/>
        </w:rPr>
        <w:t>al for the purposes of printing</w:t>
      </w:r>
      <w:r w:rsidR="002555BF">
        <w:rPr>
          <w:rFonts w:cstheme="minorHAnsi"/>
          <w:sz w:val="22"/>
          <w:szCs w:val="22"/>
        </w:rPr>
        <w:t xml:space="preserve"> or</w:t>
      </w:r>
      <w:r w:rsidRPr="00AA6D9E">
        <w:rPr>
          <w:rFonts w:cstheme="minorHAnsi"/>
          <w:sz w:val="22"/>
          <w:szCs w:val="22"/>
        </w:rPr>
        <w:t xml:space="preserve"> annotating the work, or restrict access to the document’s metadata. </w:t>
      </w:r>
    </w:p>
    <w:p w:rsidR="002555BF" w:rsidRDefault="002555BF" w:rsidP="00E91ECD">
      <w:pPr>
        <w:pStyle w:val="ListParagraph"/>
        <w:numPr>
          <w:ilvl w:val="0"/>
          <w:numId w:val="14"/>
        </w:numPr>
        <w:spacing w:before="0" w:after="0"/>
        <w:jc w:val="both"/>
        <w:rPr>
          <w:rFonts w:cstheme="minorHAnsi"/>
          <w:sz w:val="22"/>
          <w:szCs w:val="22"/>
        </w:rPr>
      </w:pPr>
      <w:r>
        <w:rPr>
          <w:rFonts w:cstheme="minorHAnsi"/>
          <w:sz w:val="22"/>
          <w:szCs w:val="22"/>
        </w:rPr>
        <w:t>Libraries collections now contain large numbers of music CDs and DVDs protected by TPMs which prevent format shifting.</w:t>
      </w:r>
    </w:p>
    <w:p w:rsidR="002555BF" w:rsidRDefault="002555BF" w:rsidP="00E91ECD">
      <w:pPr>
        <w:pStyle w:val="ListParagraph"/>
        <w:numPr>
          <w:ilvl w:val="0"/>
          <w:numId w:val="14"/>
        </w:numPr>
        <w:spacing w:before="0" w:after="0"/>
        <w:jc w:val="both"/>
        <w:rPr>
          <w:rFonts w:cstheme="minorHAnsi"/>
          <w:sz w:val="22"/>
          <w:szCs w:val="22"/>
        </w:rPr>
      </w:pPr>
      <w:r>
        <w:rPr>
          <w:rFonts w:cstheme="minorHAnsi"/>
          <w:sz w:val="22"/>
          <w:szCs w:val="22"/>
        </w:rPr>
        <w:t>Both physical and electronic textbooks in library collections are often accompanied by online supplements which can only be accessed using a code provided by the publisher.</w:t>
      </w:r>
    </w:p>
    <w:p w:rsidR="00EF7709" w:rsidRDefault="00EF7709" w:rsidP="00E91ECD">
      <w:pPr>
        <w:pStyle w:val="ListParagraph"/>
        <w:numPr>
          <w:ilvl w:val="0"/>
          <w:numId w:val="0"/>
        </w:numPr>
        <w:spacing w:before="0" w:after="0"/>
        <w:ind w:left="720"/>
        <w:jc w:val="both"/>
        <w:rPr>
          <w:rFonts w:cstheme="minorHAnsi"/>
          <w:sz w:val="22"/>
          <w:szCs w:val="22"/>
        </w:rPr>
      </w:pPr>
    </w:p>
    <w:p w:rsidR="00A14790" w:rsidRPr="00AA6D9E" w:rsidRDefault="00A14790" w:rsidP="00E91ECD">
      <w:pPr>
        <w:spacing w:before="0" w:after="0"/>
        <w:jc w:val="both"/>
        <w:rPr>
          <w:rFonts w:cstheme="minorHAnsi"/>
          <w:b/>
          <w:bCs/>
          <w:sz w:val="22"/>
          <w:szCs w:val="22"/>
        </w:rPr>
      </w:pPr>
      <w:r w:rsidRPr="00AA6D9E">
        <w:rPr>
          <w:rFonts w:cstheme="minorHAnsi"/>
          <w:b/>
          <w:bCs/>
          <w:sz w:val="22"/>
          <w:szCs w:val="22"/>
        </w:rPr>
        <w:t xml:space="preserve">(E) Has the use of the TPM had an adverse impact on the non-infringing use by the person or body seeking the exception, or is it likely that it will have such an impact? </w:t>
      </w:r>
    </w:p>
    <w:p w:rsidR="00AF5660" w:rsidRPr="00AA6D9E" w:rsidRDefault="004F62CE" w:rsidP="00E91ECD">
      <w:pPr>
        <w:spacing w:before="0" w:after="0"/>
        <w:jc w:val="both"/>
        <w:rPr>
          <w:rFonts w:cstheme="minorHAnsi"/>
          <w:sz w:val="22"/>
          <w:szCs w:val="22"/>
        </w:rPr>
      </w:pPr>
      <w:r w:rsidRPr="00AA6D9E">
        <w:rPr>
          <w:rFonts w:cstheme="minorHAnsi"/>
          <w:sz w:val="22"/>
          <w:szCs w:val="22"/>
        </w:rPr>
        <w:t xml:space="preserve">The use of TPMs on material in library and archival collections affects the ability of these institutions to perform a number of activities that are otherwise permitted under s200AB. The use of a TPM can restrict the ability </w:t>
      </w:r>
      <w:r w:rsidR="008041D1">
        <w:rPr>
          <w:rFonts w:cstheme="minorHAnsi"/>
          <w:sz w:val="22"/>
          <w:szCs w:val="22"/>
        </w:rPr>
        <w:t>of</w:t>
      </w:r>
      <w:r w:rsidRPr="00AA6D9E">
        <w:rPr>
          <w:rFonts w:cstheme="minorHAnsi"/>
          <w:sz w:val="22"/>
          <w:szCs w:val="22"/>
        </w:rPr>
        <w:t xml:space="preserve"> an institution to provide access to original copies of works, such as where information is held in encrypted email archives. </w:t>
      </w:r>
      <w:r w:rsidR="00AF5660" w:rsidRPr="00AA6D9E">
        <w:rPr>
          <w:rFonts w:cstheme="minorHAnsi"/>
          <w:sz w:val="22"/>
          <w:szCs w:val="22"/>
        </w:rPr>
        <w:t xml:space="preserve">An example of this occurring is where a library acquires a deceased person’s personal papers, including personal papers in digital form, which are encrypted due to the software used at the time the papers were created. If the library does not possess the encryption key </w:t>
      </w:r>
      <w:r w:rsidR="003045C5">
        <w:rPr>
          <w:rFonts w:cstheme="minorHAnsi"/>
          <w:sz w:val="22"/>
          <w:szCs w:val="22"/>
        </w:rPr>
        <w:t>and</w:t>
      </w:r>
      <w:r w:rsidR="003045C5" w:rsidRPr="00AA6D9E">
        <w:rPr>
          <w:rFonts w:cstheme="minorHAnsi"/>
          <w:sz w:val="22"/>
          <w:szCs w:val="22"/>
        </w:rPr>
        <w:t xml:space="preserve"> </w:t>
      </w:r>
      <w:r w:rsidR="00AF5660" w:rsidRPr="00AA6D9E">
        <w:rPr>
          <w:rFonts w:cstheme="minorHAnsi"/>
          <w:sz w:val="22"/>
          <w:szCs w:val="22"/>
        </w:rPr>
        <w:t xml:space="preserve">algorithm to unlock the material, the content remains locked unless the encryption can be circumvented. </w:t>
      </w:r>
      <w:r w:rsidR="00CF2A8F" w:rsidRPr="00AA6D9E">
        <w:rPr>
          <w:rFonts w:cstheme="minorHAnsi"/>
          <w:sz w:val="22"/>
          <w:szCs w:val="22"/>
        </w:rPr>
        <w:t>This may be achieved often through the preservation activities allowed in the regulations, however, broader uses of the work that keep pace with developments in technology are less likely to fall under the specific preservation and administrative purposes outlined in s51A, but may be covered by s200AB, such as the ability to use text and data mining to develop a deeper understanding of a collection.</w:t>
      </w:r>
    </w:p>
    <w:p w:rsidR="00AF5660" w:rsidRPr="00AA6D9E" w:rsidRDefault="00AF5660" w:rsidP="00E91ECD">
      <w:pPr>
        <w:spacing w:before="0" w:after="0"/>
        <w:jc w:val="both"/>
        <w:rPr>
          <w:rFonts w:cstheme="minorHAnsi"/>
          <w:sz w:val="22"/>
          <w:szCs w:val="22"/>
        </w:rPr>
      </w:pPr>
    </w:p>
    <w:p w:rsidR="00E13C19" w:rsidRDefault="004F62CE" w:rsidP="00E91ECD">
      <w:pPr>
        <w:spacing w:before="0"/>
        <w:jc w:val="both"/>
        <w:rPr>
          <w:rFonts w:cstheme="minorHAnsi"/>
          <w:sz w:val="22"/>
          <w:szCs w:val="22"/>
        </w:rPr>
      </w:pPr>
      <w:r w:rsidRPr="00AA6D9E">
        <w:rPr>
          <w:rFonts w:cstheme="minorHAnsi"/>
          <w:sz w:val="22"/>
          <w:szCs w:val="22"/>
        </w:rPr>
        <w:t>TPMs also affect the ability of libraries and archives to reproduce</w:t>
      </w:r>
      <w:r w:rsidR="00AF5660" w:rsidRPr="00AA6D9E">
        <w:rPr>
          <w:rFonts w:cstheme="minorHAnsi"/>
          <w:sz w:val="22"/>
          <w:szCs w:val="22"/>
        </w:rPr>
        <w:t>,</w:t>
      </w:r>
      <w:r w:rsidRPr="00AA6D9E">
        <w:rPr>
          <w:rFonts w:cstheme="minorHAnsi"/>
          <w:sz w:val="22"/>
          <w:szCs w:val="22"/>
        </w:rPr>
        <w:t xml:space="preserve"> reverse engineer</w:t>
      </w:r>
      <w:r w:rsidR="00AF5660" w:rsidRPr="00AA6D9E">
        <w:rPr>
          <w:rFonts w:cstheme="minorHAnsi"/>
          <w:sz w:val="22"/>
          <w:szCs w:val="22"/>
        </w:rPr>
        <w:t>, and format shift</w:t>
      </w:r>
      <w:r w:rsidRPr="00AA6D9E">
        <w:rPr>
          <w:rFonts w:cstheme="minorHAnsi"/>
          <w:sz w:val="22"/>
          <w:szCs w:val="22"/>
        </w:rPr>
        <w:t xml:space="preserve"> material to ensure interoperability, to perform securi</w:t>
      </w:r>
      <w:r w:rsidR="00AF5660" w:rsidRPr="00AA6D9E">
        <w:rPr>
          <w:rFonts w:cstheme="minorHAnsi"/>
          <w:sz w:val="22"/>
          <w:szCs w:val="22"/>
        </w:rPr>
        <w:t>ty testing and error correction, and can prevent</w:t>
      </w:r>
      <w:r w:rsidRPr="00AA6D9E">
        <w:rPr>
          <w:rFonts w:cstheme="minorHAnsi"/>
          <w:sz w:val="22"/>
          <w:szCs w:val="22"/>
        </w:rPr>
        <w:t xml:space="preserve"> search engines </w:t>
      </w:r>
      <w:r w:rsidR="00AF5660" w:rsidRPr="00AA6D9E">
        <w:rPr>
          <w:rFonts w:cstheme="minorHAnsi"/>
          <w:sz w:val="22"/>
          <w:szCs w:val="22"/>
        </w:rPr>
        <w:t>from</w:t>
      </w:r>
      <w:r w:rsidRPr="00AA6D9E">
        <w:rPr>
          <w:rFonts w:cstheme="minorHAnsi"/>
          <w:sz w:val="22"/>
          <w:szCs w:val="22"/>
        </w:rPr>
        <w:t xml:space="preserve"> access</w:t>
      </w:r>
      <w:r w:rsidR="00AF5660" w:rsidRPr="00AA6D9E">
        <w:rPr>
          <w:rFonts w:cstheme="minorHAnsi"/>
          <w:sz w:val="22"/>
          <w:szCs w:val="22"/>
        </w:rPr>
        <w:t>ing the</w:t>
      </w:r>
      <w:r w:rsidRPr="00AA6D9E">
        <w:rPr>
          <w:rFonts w:cstheme="minorHAnsi"/>
          <w:sz w:val="22"/>
          <w:szCs w:val="22"/>
        </w:rPr>
        <w:t xml:space="preserve"> metadata</w:t>
      </w:r>
      <w:r w:rsidR="00AF5660" w:rsidRPr="00AA6D9E">
        <w:rPr>
          <w:rFonts w:cstheme="minorHAnsi"/>
          <w:sz w:val="22"/>
          <w:szCs w:val="22"/>
        </w:rPr>
        <w:t xml:space="preserve"> on a work</w:t>
      </w:r>
      <w:r w:rsidR="00CF2A8F" w:rsidRPr="00AA6D9E">
        <w:rPr>
          <w:rFonts w:cstheme="minorHAnsi"/>
          <w:sz w:val="22"/>
          <w:szCs w:val="22"/>
        </w:rPr>
        <w:t xml:space="preserve">. This reduction of functionality of digital works adversely affects </w:t>
      </w:r>
      <w:r w:rsidR="00E13C19">
        <w:rPr>
          <w:rFonts w:cstheme="minorHAnsi"/>
          <w:sz w:val="22"/>
          <w:szCs w:val="22"/>
        </w:rPr>
        <w:t>otherwise non-infringing use by libraries in a variety of ways:</w:t>
      </w:r>
    </w:p>
    <w:p w:rsidR="00E13C19" w:rsidRPr="00E91ECD" w:rsidRDefault="00E13C19" w:rsidP="00E31AB5">
      <w:pPr>
        <w:pStyle w:val="ListParagraph"/>
        <w:numPr>
          <w:ilvl w:val="0"/>
          <w:numId w:val="14"/>
        </w:numPr>
        <w:spacing w:before="0" w:after="0"/>
        <w:jc w:val="both"/>
        <w:rPr>
          <w:rFonts w:cstheme="minorHAnsi"/>
          <w:sz w:val="22"/>
          <w:szCs w:val="22"/>
          <w:u w:val="single"/>
        </w:rPr>
      </w:pPr>
      <w:r w:rsidRPr="00E91ECD">
        <w:rPr>
          <w:rFonts w:cstheme="minorHAnsi"/>
          <w:sz w:val="22"/>
          <w:szCs w:val="22"/>
          <w:u w:val="single"/>
        </w:rPr>
        <w:t xml:space="preserve">Access for persons with a disability </w:t>
      </w:r>
    </w:p>
    <w:p w:rsidR="00D128B3" w:rsidRDefault="00E13C19" w:rsidP="00E91ECD">
      <w:pPr>
        <w:spacing w:before="0" w:after="0"/>
        <w:ind w:left="720"/>
        <w:jc w:val="both"/>
        <w:rPr>
          <w:rFonts w:cstheme="minorHAnsi"/>
          <w:sz w:val="22"/>
          <w:szCs w:val="22"/>
        </w:rPr>
      </w:pPr>
      <w:r>
        <w:rPr>
          <w:rFonts w:cstheme="minorHAnsi"/>
          <w:sz w:val="22"/>
          <w:szCs w:val="22"/>
        </w:rPr>
        <w:t>The presence of TPMs on electronic copies of research material restrict</w:t>
      </w:r>
      <w:r w:rsidR="008041D1">
        <w:rPr>
          <w:rFonts w:cstheme="minorHAnsi"/>
          <w:sz w:val="22"/>
          <w:szCs w:val="22"/>
        </w:rPr>
        <w:t>s</w:t>
      </w:r>
      <w:r>
        <w:rPr>
          <w:rFonts w:cstheme="minorHAnsi"/>
          <w:sz w:val="22"/>
          <w:szCs w:val="22"/>
        </w:rPr>
        <w:t xml:space="preserve"> </w:t>
      </w:r>
      <w:r w:rsidR="008041D1">
        <w:rPr>
          <w:rFonts w:cstheme="minorHAnsi"/>
          <w:sz w:val="22"/>
          <w:szCs w:val="22"/>
        </w:rPr>
        <w:t>the ability of libraries</w:t>
      </w:r>
      <w:r w:rsidR="00CF2A8F" w:rsidRPr="00E13C19">
        <w:rPr>
          <w:rFonts w:cstheme="minorHAnsi"/>
          <w:sz w:val="22"/>
          <w:szCs w:val="22"/>
        </w:rPr>
        <w:t xml:space="preserve"> </w:t>
      </w:r>
      <w:r w:rsidR="00CF2A8F" w:rsidRPr="00AA6D9E">
        <w:rPr>
          <w:rFonts w:cstheme="minorHAnsi"/>
          <w:sz w:val="22"/>
          <w:szCs w:val="22"/>
        </w:rPr>
        <w:t xml:space="preserve">to provide material in alternative access formats for persons with a disability. </w:t>
      </w:r>
      <w:r w:rsidR="00035594" w:rsidRPr="00AA6D9E">
        <w:rPr>
          <w:rFonts w:cstheme="minorHAnsi"/>
          <w:sz w:val="22"/>
          <w:szCs w:val="22"/>
        </w:rPr>
        <w:t xml:space="preserve">For example, a print disabled person may access a research article </w:t>
      </w:r>
      <w:r w:rsidR="00035594" w:rsidRPr="00AA6D9E">
        <w:rPr>
          <w:rFonts w:cstheme="minorHAnsi"/>
          <w:sz w:val="22"/>
          <w:szCs w:val="22"/>
        </w:rPr>
        <w:lastRenderedPageBreak/>
        <w:t xml:space="preserve">through the library that is contained in an encrypted PDF or eBook format that contains DRM, which prevents the application of text to audio software to the work. But for the circumvention of the TPM, </w:t>
      </w:r>
      <w:r w:rsidR="008041D1">
        <w:rPr>
          <w:rFonts w:cstheme="minorHAnsi"/>
          <w:sz w:val="22"/>
          <w:szCs w:val="22"/>
        </w:rPr>
        <w:t>utilisation of text to audio software on such material would be</w:t>
      </w:r>
      <w:r w:rsidR="00CF2A8F" w:rsidRPr="00AA6D9E">
        <w:rPr>
          <w:rFonts w:cstheme="minorHAnsi"/>
          <w:sz w:val="22"/>
          <w:szCs w:val="22"/>
        </w:rPr>
        <w:t xml:space="preserve"> a non-infr</w:t>
      </w:r>
      <w:r w:rsidR="00035594" w:rsidRPr="00AA6D9E">
        <w:rPr>
          <w:rFonts w:cstheme="minorHAnsi"/>
          <w:sz w:val="22"/>
          <w:szCs w:val="22"/>
        </w:rPr>
        <w:t xml:space="preserve">inging use under </w:t>
      </w:r>
      <w:proofErr w:type="gramStart"/>
      <w:r w:rsidR="00035594" w:rsidRPr="00AA6D9E">
        <w:rPr>
          <w:rFonts w:cstheme="minorHAnsi"/>
          <w:sz w:val="22"/>
          <w:szCs w:val="22"/>
        </w:rPr>
        <w:t>s200AB(</w:t>
      </w:r>
      <w:proofErr w:type="gramEnd"/>
      <w:r w:rsidR="00035594" w:rsidRPr="00AA6D9E">
        <w:rPr>
          <w:rFonts w:cstheme="minorHAnsi"/>
          <w:sz w:val="22"/>
          <w:szCs w:val="22"/>
        </w:rPr>
        <w:t xml:space="preserve">4). Educational institutions performing circumvention for this service are </w:t>
      </w:r>
      <w:r w:rsidR="00987A92" w:rsidRPr="00AA6D9E">
        <w:rPr>
          <w:rFonts w:cstheme="minorHAnsi"/>
          <w:sz w:val="22"/>
          <w:szCs w:val="22"/>
        </w:rPr>
        <w:t>already</w:t>
      </w:r>
      <w:r w:rsidR="00035594" w:rsidRPr="00AA6D9E">
        <w:rPr>
          <w:rFonts w:cstheme="minorHAnsi"/>
          <w:sz w:val="22"/>
          <w:szCs w:val="22"/>
        </w:rPr>
        <w:t xml:space="preserve"> protected from liability as activities ensuring access to works for print disabled persons are covered by the Part VB licence, which is a ‘prescribed use’ in the Regulations. </w:t>
      </w:r>
      <w:r w:rsidR="00D14BAC" w:rsidRPr="00AA6D9E">
        <w:rPr>
          <w:rFonts w:cstheme="minorHAnsi"/>
          <w:sz w:val="22"/>
          <w:szCs w:val="22"/>
        </w:rPr>
        <w:t xml:space="preserve">Libraries are a crucial source of material for persons with a range of disabilities, and should be able to perform these uses with the same protections as educational institutions. </w:t>
      </w:r>
    </w:p>
    <w:p w:rsidR="0057544A" w:rsidRDefault="0057544A" w:rsidP="00E91ECD">
      <w:pPr>
        <w:spacing w:before="0" w:after="0"/>
        <w:jc w:val="both"/>
        <w:rPr>
          <w:rFonts w:cstheme="minorHAnsi"/>
          <w:sz w:val="22"/>
          <w:szCs w:val="22"/>
        </w:rPr>
      </w:pPr>
    </w:p>
    <w:p w:rsidR="00E13C19" w:rsidRPr="00E91ECD" w:rsidRDefault="00E13C19" w:rsidP="00E91ECD">
      <w:pPr>
        <w:pStyle w:val="ListParagraph"/>
        <w:numPr>
          <w:ilvl w:val="0"/>
          <w:numId w:val="14"/>
        </w:numPr>
        <w:spacing w:before="0" w:after="0"/>
        <w:jc w:val="both"/>
        <w:rPr>
          <w:rFonts w:cstheme="minorHAnsi"/>
          <w:sz w:val="22"/>
          <w:szCs w:val="22"/>
          <w:u w:val="single"/>
        </w:rPr>
      </w:pPr>
      <w:r w:rsidRPr="00E91ECD">
        <w:rPr>
          <w:rFonts w:cstheme="minorHAnsi"/>
          <w:sz w:val="22"/>
          <w:szCs w:val="22"/>
          <w:u w:val="single"/>
        </w:rPr>
        <w:t>Collection Management; consolidation of material in outdated formats</w:t>
      </w:r>
    </w:p>
    <w:p w:rsidR="00F01B2B" w:rsidRPr="00E91ECD" w:rsidRDefault="00E13C19" w:rsidP="00E91ECD">
      <w:pPr>
        <w:spacing w:before="0" w:after="0"/>
        <w:ind w:left="720"/>
        <w:jc w:val="both"/>
        <w:rPr>
          <w:sz w:val="22"/>
          <w:szCs w:val="22"/>
        </w:rPr>
      </w:pPr>
      <w:r w:rsidRPr="00E91ECD">
        <w:rPr>
          <w:sz w:val="22"/>
          <w:szCs w:val="22"/>
        </w:rPr>
        <w:t>Libraries have vast numbers of music CDs and both feature films and educational videos contain</w:t>
      </w:r>
      <w:r w:rsidR="00F01B2B" w:rsidRPr="00E91ECD">
        <w:rPr>
          <w:sz w:val="22"/>
          <w:szCs w:val="22"/>
        </w:rPr>
        <w:t>ed on DVDs in their collections, that they are seeking to consolidate into digital repositories which provide networked access.</w:t>
      </w:r>
      <w:r w:rsidRPr="00E91ECD">
        <w:rPr>
          <w:sz w:val="22"/>
          <w:szCs w:val="22"/>
        </w:rPr>
        <w:t xml:space="preserve"> The current exceptions that allow format shifting for preservation purposes require library staff to be satisfied that this material is not commercially available in the desired format</w:t>
      </w:r>
      <w:r w:rsidR="00F01B2B" w:rsidRPr="00E91ECD">
        <w:rPr>
          <w:sz w:val="22"/>
          <w:szCs w:val="22"/>
        </w:rPr>
        <w:t xml:space="preserve"> before shifting. </w:t>
      </w:r>
      <w:r w:rsidRPr="00E91ECD">
        <w:rPr>
          <w:sz w:val="22"/>
          <w:szCs w:val="22"/>
        </w:rPr>
        <w:t xml:space="preserve"> </w:t>
      </w:r>
      <w:r w:rsidR="00F01B2B" w:rsidRPr="00E91ECD">
        <w:rPr>
          <w:sz w:val="22"/>
          <w:szCs w:val="22"/>
        </w:rPr>
        <w:t>But for the presence of TPMs on this material, s200AB provides scope for this type of management activity to be carrie</w:t>
      </w:r>
      <w:r w:rsidR="008041D1">
        <w:rPr>
          <w:sz w:val="22"/>
          <w:szCs w:val="22"/>
        </w:rPr>
        <w:t>d out in a more streamlined way</w:t>
      </w:r>
      <w:r w:rsidR="00F01B2B" w:rsidRPr="00E91ECD">
        <w:rPr>
          <w:sz w:val="22"/>
          <w:szCs w:val="22"/>
        </w:rPr>
        <w:t xml:space="preserve"> that does not tax libraries’ already stretched resources. </w:t>
      </w:r>
    </w:p>
    <w:p w:rsidR="00F01B2B" w:rsidRPr="00E91ECD" w:rsidRDefault="00F01B2B" w:rsidP="00E91ECD">
      <w:pPr>
        <w:spacing w:before="0" w:after="0" w:line="240" w:lineRule="auto"/>
        <w:ind w:left="284"/>
        <w:jc w:val="both"/>
        <w:rPr>
          <w:sz w:val="22"/>
          <w:szCs w:val="22"/>
        </w:rPr>
      </w:pPr>
    </w:p>
    <w:p w:rsidR="00F01B2B" w:rsidRPr="00E91ECD" w:rsidRDefault="00F01B2B" w:rsidP="00E91ECD">
      <w:pPr>
        <w:pStyle w:val="ListParagraph"/>
        <w:numPr>
          <w:ilvl w:val="0"/>
          <w:numId w:val="14"/>
        </w:numPr>
        <w:spacing w:before="0" w:after="0"/>
        <w:jc w:val="both"/>
        <w:rPr>
          <w:sz w:val="22"/>
          <w:szCs w:val="22"/>
          <w:u w:val="single"/>
        </w:rPr>
      </w:pPr>
      <w:r w:rsidRPr="00E91ECD">
        <w:rPr>
          <w:sz w:val="22"/>
          <w:szCs w:val="22"/>
          <w:u w:val="single"/>
        </w:rPr>
        <w:t>Access to online textbook supplements</w:t>
      </w:r>
    </w:p>
    <w:p w:rsidR="00F01B2B" w:rsidRPr="00E91ECD" w:rsidRDefault="00F01B2B" w:rsidP="00E91ECD">
      <w:pPr>
        <w:spacing w:before="0" w:after="0"/>
        <w:ind w:left="720"/>
        <w:jc w:val="both"/>
        <w:rPr>
          <w:sz w:val="22"/>
          <w:szCs w:val="22"/>
        </w:rPr>
      </w:pPr>
      <w:r w:rsidRPr="00E91ECD">
        <w:rPr>
          <w:sz w:val="22"/>
          <w:szCs w:val="22"/>
        </w:rPr>
        <w:t xml:space="preserve">Textbooks held by university libraries often contain online supplements that are restricted to users who have been provided with a password or other key from the publisher, generally on purchasing the text. The codes only provide individual access, and cannot be used by libraries to provide multiple students with access to the supplements. </w:t>
      </w:r>
      <w:r w:rsidR="00A700B1" w:rsidRPr="00E91ECD">
        <w:rPr>
          <w:sz w:val="22"/>
          <w:szCs w:val="22"/>
        </w:rPr>
        <w:t xml:space="preserve">These libraries do not have the resources to manage thousands of unique codes for the increasing numbers of textbooks that offer this feature. </w:t>
      </w:r>
      <w:r w:rsidRPr="00E91ECD">
        <w:rPr>
          <w:sz w:val="22"/>
          <w:szCs w:val="22"/>
        </w:rPr>
        <w:t xml:space="preserve">If able to circumvent this restriction, educational libraries could copy the content of the online supplement into an authenticated library system, to </w:t>
      </w:r>
      <w:r w:rsidR="008041D1">
        <w:rPr>
          <w:sz w:val="22"/>
          <w:szCs w:val="22"/>
        </w:rPr>
        <w:t>provide</w:t>
      </w:r>
      <w:r w:rsidRPr="00E91ECD">
        <w:rPr>
          <w:sz w:val="22"/>
          <w:szCs w:val="22"/>
        </w:rPr>
        <w:t xml:space="preserve"> access to users of the print textbook</w:t>
      </w:r>
      <w:r w:rsidR="008041D1">
        <w:rPr>
          <w:sz w:val="22"/>
          <w:szCs w:val="22"/>
        </w:rPr>
        <w:t>, while ensuring access</w:t>
      </w:r>
      <w:r w:rsidR="008041D1" w:rsidRPr="008041D1">
        <w:rPr>
          <w:sz w:val="22"/>
          <w:szCs w:val="22"/>
        </w:rPr>
        <w:t xml:space="preserve"> </w:t>
      </w:r>
      <w:r w:rsidR="008041D1" w:rsidRPr="00E91ECD">
        <w:rPr>
          <w:sz w:val="22"/>
          <w:szCs w:val="22"/>
        </w:rPr>
        <w:t xml:space="preserve">was still </w:t>
      </w:r>
      <w:r w:rsidR="008041D1">
        <w:rPr>
          <w:sz w:val="22"/>
          <w:szCs w:val="22"/>
        </w:rPr>
        <w:t>controlled</w:t>
      </w:r>
      <w:r w:rsidRPr="00E91ECD">
        <w:rPr>
          <w:sz w:val="22"/>
          <w:szCs w:val="22"/>
        </w:rPr>
        <w:t xml:space="preserve">. </w:t>
      </w:r>
    </w:p>
    <w:p w:rsidR="0057544A" w:rsidRDefault="0057544A" w:rsidP="00E91ECD">
      <w:pPr>
        <w:spacing w:before="0" w:after="0"/>
        <w:jc w:val="both"/>
        <w:rPr>
          <w:rFonts w:cstheme="minorHAnsi"/>
          <w:sz w:val="22"/>
          <w:szCs w:val="22"/>
        </w:rPr>
      </w:pPr>
    </w:p>
    <w:p w:rsidR="00FB3929" w:rsidRPr="00E91ECD" w:rsidRDefault="00FB3929" w:rsidP="00E91ECD">
      <w:pPr>
        <w:spacing w:before="0" w:after="0"/>
        <w:jc w:val="both"/>
        <w:rPr>
          <w:rFonts w:cstheme="minorHAnsi"/>
          <w:sz w:val="22"/>
          <w:szCs w:val="22"/>
        </w:rPr>
      </w:pPr>
    </w:p>
    <w:p w:rsidR="00A14790" w:rsidRPr="00AA6D9E" w:rsidRDefault="00A14790" w:rsidP="00E91ECD">
      <w:pPr>
        <w:spacing w:before="0" w:after="0"/>
        <w:jc w:val="both"/>
        <w:rPr>
          <w:rFonts w:cstheme="minorHAnsi"/>
          <w:b/>
          <w:bCs/>
          <w:sz w:val="22"/>
          <w:szCs w:val="22"/>
        </w:rPr>
      </w:pPr>
      <w:r w:rsidRPr="00AA6D9E">
        <w:rPr>
          <w:rFonts w:cstheme="minorHAnsi"/>
          <w:b/>
          <w:bCs/>
          <w:sz w:val="22"/>
          <w:szCs w:val="22"/>
        </w:rPr>
        <w:t xml:space="preserve">(F) Would the exception impair the adequacy of legal protection or the effectiveness of legal remedies against the circumvention of the TPM? </w:t>
      </w:r>
    </w:p>
    <w:p w:rsidR="00A14790" w:rsidRPr="00AA6D9E" w:rsidRDefault="00987A92" w:rsidP="00E91ECD">
      <w:pPr>
        <w:spacing w:before="0" w:after="0"/>
        <w:jc w:val="both"/>
        <w:rPr>
          <w:rFonts w:cstheme="minorHAnsi"/>
          <w:sz w:val="22"/>
          <w:szCs w:val="22"/>
        </w:rPr>
      </w:pPr>
      <w:r w:rsidRPr="00AA6D9E">
        <w:rPr>
          <w:rFonts w:cstheme="minorHAnsi"/>
          <w:sz w:val="22"/>
          <w:szCs w:val="22"/>
        </w:rPr>
        <w:t xml:space="preserve">Allowing circumvention of TPMs to perform activities covered by </w:t>
      </w:r>
      <w:proofErr w:type="gramStart"/>
      <w:r w:rsidRPr="00AA6D9E">
        <w:rPr>
          <w:rFonts w:cstheme="minorHAnsi"/>
          <w:sz w:val="22"/>
          <w:szCs w:val="22"/>
        </w:rPr>
        <w:t>s200AB(</w:t>
      </w:r>
      <w:proofErr w:type="gramEnd"/>
      <w:r w:rsidRPr="00AA6D9E">
        <w:rPr>
          <w:rFonts w:cstheme="minorHAnsi"/>
          <w:sz w:val="22"/>
          <w:szCs w:val="22"/>
        </w:rPr>
        <w:t xml:space="preserve">2) and (4) will not impair the adequacy of legal protection </w:t>
      </w:r>
      <w:r w:rsidR="00053526" w:rsidRPr="00AA6D9E">
        <w:rPr>
          <w:rFonts w:cstheme="minorHAnsi"/>
          <w:sz w:val="22"/>
          <w:szCs w:val="22"/>
        </w:rPr>
        <w:t>contained in</w:t>
      </w:r>
      <w:r w:rsidRPr="00AA6D9E">
        <w:rPr>
          <w:rFonts w:cstheme="minorHAnsi"/>
          <w:sz w:val="22"/>
          <w:szCs w:val="22"/>
        </w:rPr>
        <w:t xml:space="preserve"> the TPMs regime. The conditions that must be satisfied before a use is protected by the provision ensure that the situations in which a TPM may be circumvented are highly circumscribed. The ‘special case’ requirement in </w:t>
      </w:r>
      <w:proofErr w:type="gramStart"/>
      <w:r w:rsidRPr="00AA6D9E">
        <w:rPr>
          <w:rFonts w:cstheme="minorHAnsi"/>
          <w:sz w:val="22"/>
          <w:szCs w:val="22"/>
        </w:rPr>
        <w:t>s200AB(</w:t>
      </w:r>
      <w:proofErr w:type="gramEnd"/>
      <w:r w:rsidRPr="00AA6D9E">
        <w:rPr>
          <w:rFonts w:cstheme="minorHAnsi"/>
          <w:sz w:val="22"/>
          <w:szCs w:val="22"/>
        </w:rPr>
        <w:t xml:space="preserve">1)(a) ensures that the provision is unlikely to be used for widespread or systematic circumvention of TPMs across a whole collection. </w:t>
      </w:r>
    </w:p>
    <w:p w:rsidR="00FB3929" w:rsidRDefault="00FB3929" w:rsidP="00E91ECD">
      <w:pPr>
        <w:spacing w:before="0" w:after="0"/>
        <w:jc w:val="both"/>
        <w:rPr>
          <w:rFonts w:cstheme="minorHAnsi"/>
          <w:sz w:val="22"/>
          <w:szCs w:val="22"/>
        </w:rPr>
      </w:pPr>
    </w:p>
    <w:p w:rsidR="00EF7709" w:rsidRDefault="00987A92" w:rsidP="00E91ECD">
      <w:pPr>
        <w:spacing w:before="0" w:after="0"/>
        <w:jc w:val="both"/>
        <w:rPr>
          <w:rFonts w:cstheme="minorHAnsi"/>
          <w:sz w:val="22"/>
          <w:szCs w:val="22"/>
        </w:rPr>
      </w:pPr>
      <w:r w:rsidRPr="00AA6D9E">
        <w:rPr>
          <w:rFonts w:cstheme="minorHAnsi"/>
          <w:sz w:val="22"/>
          <w:szCs w:val="22"/>
        </w:rPr>
        <w:lastRenderedPageBreak/>
        <w:t xml:space="preserve">Furthermore, there has been no evidence to suggest that the current TPMs exceptions allowing libraries and archives to circumvent for the purposes of preservation and </w:t>
      </w:r>
      <w:proofErr w:type="gramStart"/>
      <w:r w:rsidRPr="00AA6D9E">
        <w:rPr>
          <w:rFonts w:cstheme="minorHAnsi"/>
          <w:sz w:val="22"/>
          <w:szCs w:val="22"/>
        </w:rPr>
        <w:t>providing</w:t>
      </w:r>
      <w:proofErr w:type="gramEnd"/>
      <w:r w:rsidRPr="00AA6D9E">
        <w:rPr>
          <w:rFonts w:cstheme="minorHAnsi"/>
          <w:sz w:val="22"/>
          <w:szCs w:val="22"/>
        </w:rPr>
        <w:t xml:space="preserve"> controlled access to users have created loopholes for piracy of works, or have otherwise disadvantaged creators.</w:t>
      </w:r>
    </w:p>
    <w:p w:rsidR="00E91ECD" w:rsidRDefault="00E91ECD" w:rsidP="00E91ECD">
      <w:pPr>
        <w:spacing w:before="0" w:after="200"/>
        <w:jc w:val="both"/>
        <w:rPr>
          <w:rFonts w:cstheme="minorHAnsi"/>
          <w:b/>
          <w:sz w:val="28"/>
          <w:szCs w:val="28"/>
          <w:u w:val="single"/>
        </w:rPr>
      </w:pPr>
    </w:p>
    <w:p w:rsidR="006E22BE" w:rsidRPr="00AA6D9E" w:rsidRDefault="006E22BE" w:rsidP="00E91ECD">
      <w:pPr>
        <w:spacing w:before="0" w:after="200"/>
        <w:jc w:val="both"/>
        <w:rPr>
          <w:rFonts w:cstheme="minorHAnsi"/>
          <w:b/>
          <w:sz w:val="28"/>
          <w:szCs w:val="28"/>
          <w:u w:val="single"/>
        </w:rPr>
      </w:pPr>
      <w:r w:rsidRPr="00AA6D9E">
        <w:rPr>
          <w:rFonts w:cstheme="minorHAnsi"/>
          <w:b/>
          <w:sz w:val="28"/>
          <w:szCs w:val="28"/>
          <w:u w:val="single"/>
        </w:rPr>
        <w:t>Part III: Exceptions to TPMs facilitating the a</w:t>
      </w:r>
      <w:r w:rsidRPr="00AA6D9E">
        <w:rPr>
          <w:rFonts w:cstheme="minorHAnsi"/>
          <w:b/>
          <w:bCs/>
          <w:sz w:val="28"/>
          <w:szCs w:val="28"/>
          <w:u w:val="single"/>
        </w:rPr>
        <w:t>ctivities of educational &amp; research institutions</w:t>
      </w:r>
    </w:p>
    <w:p w:rsidR="006E22BE" w:rsidRDefault="00FB3929" w:rsidP="00E91ECD">
      <w:pPr>
        <w:spacing w:before="0" w:after="200"/>
        <w:jc w:val="both"/>
        <w:rPr>
          <w:rFonts w:cstheme="minorHAnsi"/>
          <w:b/>
          <w:bCs/>
          <w:sz w:val="28"/>
          <w:szCs w:val="28"/>
          <w:u w:val="single"/>
        </w:rPr>
      </w:pPr>
      <w:r>
        <w:rPr>
          <w:rFonts w:eastAsiaTheme="minorHAnsi" w:cstheme="minorHAnsi"/>
          <w:sz w:val="22"/>
          <w:szCs w:val="22"/>
        </w:rPr>
        <w:t>In relation to exceptions facilitating educational use of material containing TPMs, t</w:t>
      </w:r>
      <w:r w:rsidR="006E22BE" w:rsidRPr="00AA6D9E">
        <w:rPr>
          <w:rFonts w:eastAsiaTheme="minorHAnsi" w:cstheme="minorHAnsi"/>
          <w:sz w:val="22"/>
          <w:szCs w:val="22"/>
        </w:rPr>
        <w:t>he ADA and ALCC support the submissions of the Copyright Advisory Group of the Standing Council on School Education and Early Childhood and Univers</w:t>
      </w:r>
      <w:r w:rsidR="006E22BE">
        <w:rPr>
          <w:rFonts w:eastAsiaTheme="minorHAnsi" w:cstheme="minorHAnsi"/>
          <w:sz w:val="22"/>
          <w:szCs w:val="22"/>
        </w:rPr>
        <w:t>ities Australia to this inquiry</w:t>
      </w:r>
      <w:r w:rsidR="006E22BE" w:rsidRPr="00AA6D9E">
        <w:rPr>
          <w:rFonts w:eastAsiaTheme="minorHAnsi" w:cstheme="minorHAnsi"/>
          <w:sz w:val="22"/>
          <w:szCs w:val="22"/>
        </w:rPr>
        <w:t>.</w:t>
      </w:r>
    </w:p>
    <w:p w:rsidR="0061609B" w:rsidRDefault="0061609B" w:rsidP="00E91ECD">
      <w:pPr>
        <w:spacing w:before="0" w:after="200"/>
        <w:jc w:val="both"/>
        <w:rPr>
          <w:rFonts w:cstheme="minorHAnsi"/>
          <w:b/>
          <w:bCs/>
          <w:sz w:val="28"/>
          <w:szCs w:val="28"/>
          <w:u w:val="single"/>
        </w:rPr>
      </w:pPr>
    </w:p>
    <w:p w:rsidR="004D271F" w:rsidRPr="00AA6D9E" w:rsidRDefault="004D271F" w:rsidP="00E91ECD">
      <w:pPr>
        <w:spacing w:before="0" w:after="200"/>
        <w:jc w:val="both"/>
        <w:rPr>
          <w:rFonts w:cstheme="minorHAnsi"/>
          <w:b/>
          <w:bCs/>
          <w:sz w:val="28"/>
          <w:szCs w:val="28"/>
          <w:u w:val="single"/>
        </w:rPr>
      </w:pPr>
      <w:r w:rsidRPr="00AA6D9E">
        <w:rPr>
          <w:rFonts w:cstheme="minorHAnsi"/>
          <w:b/>
          <w:bCs/>
          <w:sz w:val="28"/>
          <w:szCs w:val="28"/>
          <w:u w:val="single"/>
        </w:rPr>
        <w:t>Contextual Factors</w:t>
      </w:r>
    </w:p>
    <w:p w:rsidR="004D271F" w:rsidRPr="00E91ECD" w:rsidRDefault="004D271F" w:rsidP="00E91ECD">
      <w:pPr>
        <w:spacing w:after="120"/>
        <w:jc w:val="both"/>
        <w:rPr>
          <w:rFonts w:cstheme="minorHAnsi"/>
          <w:sz w:val="22"/>
          <w:szCs w:val="22"/>
        </w:rPr>
      </w:pPr>
      <w:r w:rsidRPr="00AA6D9E">
        <w:rPr>
          <w:rFonts w:cstheme="minorHAnsi"/>
          <w:sz w:val="22"/>
          <w:szCs w:val="22"/>
        </w:rPr>
        <w:t xml:space="preserve">While the ADA and ALCC recognise that the Attorney-General’s review is </w:t>
      </w:r>
      <w:r w:rsidR="00FB3929">
        <w:rPr>
          <w:rFonts w:cstheme="minorHAnsi"/>
          <w:sz w:val="22"/>
          <w:szCs w:val="22"/>
        </w:rPr>
        <w:t>restricted</w:t>
      </w:r>
      <w:r w:rsidRPr="00AA6D9E">
        <w:rPr>
          <w:rFonts w:cstheme="minorHAnsi"/>
          <w:sz w:val="22"/>
          <w:szCs w:val="22"/>
        </w:rPr>
        <w:t xml:space="preserve"> to considering exceptions for circumvention </w:t>
      </w:r>
      <w:r w:rsidR="00FB3929">
        <w:rPr>
          <w:rFonts w:cstheme="minorHAnsi"/>
          <w:sz w:val="22"/>
          <w:szCs w:val="22"/>
        </w:rPr>
        <w:t>within the confines of s249 of the Act</w:t>
      </w:r>
      <w:r w:rsidRPr="00AA6D9E">
        <w:rPr>
          <w:rFonts w:cstheme="minorHAnsi"/>
          <w:sz w:val="22"/>
          <w:szCs w:val="22"/>
        </w:rPr>
        <w:t xml:space="preserve">, we urge the department to take two crucial contextual factors into account when considering exceptions for TPMs. </w:t>
      </w:r>
    </w:p>
    <w:p w:rsidR="004D271F" w:rsidRPr="00AA6D9E" w:rsidRDefault="004D271F" w:rsidP="00E91ECD">
      <w:pPr>
        <w:spacing w:after="120"/>
        <w:jc w:val="both"/>
        <w:rPr>
          <w:rFonts w:cstheme="minorHAnsi"/>
          <w:sz w:val="22"/>
          <w:szCs w:val="22"/>
        </w:rPr>
      </w:pPr>
      <w:r w:rsidRPr="00AA6D9E">
        <w:rPr>
          <w:rFonts w:cstheme="minorHAnsi"/>
          <w:sz w:val="22"/>
          <w:szCs w:val="22"/>
        </w:rPr>
        <w:t xml:space="preserve">The </w:t>
      </w:r>
      <w:r w:rsidR="00D637FD">
        <w:rPr>
          <w:rFonts w:cstheme="minorHAnsi"/>
          <w:sz w:val="22"/>
          <w:szCs w:val="22"/>
        </w:rPr>
        <w:t>first</w:t>
      </w:r>
      <w:r w:rsidR="00D637FD" w:rsidRPr="00AA6D9E">
        <w:rPr>
          <w:rFonts w:cstheme="minorHAnsi"/>
          <w:sz w:val="22"/>
          <w:szCs w:val="22"/>
        </w:rPr>
        <w:t xml:space="preserve"> </w:t>
      </w:r>
      <w:r w:rsidRPr="00AA6D9E">
        <w:rPr>
          <w:rFonts w:cstheme="minorHAnsi"/>
          <w:sz w:val="22"/>
          <w:szCs w:val="22"/>
        </w:rPr>
        <w:t xml:space="preserve">contextual factor that the ADA and ALCC urge the department to keep in mind is that access to digital works in the current day is inextricably linked to licensing, contracts, and the business models of content providers. </w:t>
      </w:r>
      <w:r w:rsidR="00802405" w:rsidRPr="00AA6D9E">
        <w:rPr>
          <w:rFonts w:cstheme="minorHAnsi"/>
          <w:sz w:val="22"/>
          <w:szCs w:val="22"/>
        </w:rPr>
        <w:t>Many of the difficulties associated with library use of current TPMs exceptions are to do with the way that licences dictate how material may be used. One example here is of an Irish Historic Towns Atlas, which the NLA holds as an encrypted PDF. While circumventing the encryption on the PDF in order to make use of this material, including by printing the material, or copying the content over to another format</w:t>
      </w:r>
      <w:r w:rsidR="00B84C86">
        <w:rPr>
          <w:rFonts w:cstheme="minorHAnsi"/>
          <w:sz w:val="22"/>
          <w:szCs w:val="22"/>
        </w:rPr>
        <w:t>,</w:t>
      </w:r>
      <w:r w:rsidR="00802405" w:rsidRPr="00AA6D9E">
        <w:rPr>
          <w:rFonts w:cstheme="minorHAnsi"/>
          <w:sz w:val="22"/>
          <w:szCs w:val="22"/>
        </w:rPr>
        <w:t xml:space="preserve"> is permissible under Schedule 10 of the Regulations, the licence under which the library is supplied with the atlas states that ‘document changes, commenting, page extraction, content copying and printing are not permitted’. </w:t>
      </w:r>
      <w:r w:rsidR="00AA6D9E" w:rsidRPr="00AA6D9E">
        <w:rPr>
          <w:rFonts w:cstheme="minorHAnsi"/>
          <w:sz w:val="22"/>
          <w:szCs w:val="22"/>
        </w:rPr>
        <w:t>As outlined in the ADA and ALCC submission to the 2005 review of TPMs exceptions</w:t>
      </w:r>
      <w:r w:rsidR="00802405" w:rsidRPr="00AA6D9E">
        <w:rPr>
          <w:rFonts w:cstheme="minorHAnsi"/>
          <w:sz w:val="22"/>
          <w:szCs w:val="22"/>
        </w:rPr>
        <w:t>,</w:t>
      </w:r>
      <w:r w:rsidR="00AA6D9E" w:rsidRPr="00AA6D9E">
        <w:rPr>
          <w:rStyle w:val="FootnoteReference"/>
          <w:rFonts w:cstheme="minorHAnsi"/>
          <w:sz w:val="22"/>
          <w:szCs w:val="22"/>
        </w:rPr>
        <w:footnoteReference w:id="3"/>
      </w:r>
      <w:r w:rsidR="00802405" w:rsidRPr="00AA6D9E">
        <w:rPr>
          <w:rFonts w:cstheme="minorHAnsi"/>
          <w:sz w:val="22"/>
          <w:szCs w:val="22"/>
        </w:rPr>
        <w:t xml:space="preserve"> the ability of contracts and licences to override exceptions threatens the utility of the exceptions for </w:t>
      </w:r>
      <w:r w:rsidR="00AA6D9E" w:rsidRPr="00AA6D9E">
        <w:rPr>
          <w:rFonts w:cstheme="minorHAnsi"/>
          <w:sz w:val="22"/>
          <w:szCs w:val="22"/>
        </w:rPr>
        <w:t>all users of material protected by copyright</w:t>
      </w:r>
      <w:r w:rsidR="00802405" w:rsidRPr="00AA6D9E">
        <w:rPr>
          <w:rFonts w:cstheme="minorHAnsi"/>
          <w:sz w:val="22"/>
          <w:szCs w:val="22"/>
        </w:rPr>
        <w:t xml:space="preserve">. </w:t>
      </w:r>
    </w:p>
    <w:p w:rsidR="00F02197" w:rsidRPr="00AA6D9E" w:rsidRDefault="00BA1593" w:rsidP="00E91ECD">
      <w:pPr>
        <w:spacing w:after="120"/>
        <w:jc w:val="both"/>
        <w:rPr>
          <w:rFonts w:cstheme="minorHAnsi"/>
          <w:sz w:val="22"/>
          <w:szCs w:val="22"/>
        </w:rPr>
      </w:pPr>
      <w:r w:rsidRPr="00AA6D9E">
        <w:rPr>
          <w:rFonts w:cstheme="minorHAnsi"/>
          <w:sz w:val="22"/>
          <w:szCs w:val="22"/>
        </w:rPr>
        <w:t xml:space="preserve">The </w:t>
      </w:r>
      <w:r w:rsidR="00D637FD">
        <w:rPr>
          <w:rFonts w:cstheme="minorHAnsi"/>
          <w:sz w:val="22"/>
          <w:szCs w:val="22"/>
        </w:rPr>
        <w:t>second</w:t>
      </w:r>
      <w:r w:rsidR="00D637FD" w:rsidRPr="00AA6D9E">
        <w:rPr>
          <w:rFonts w:cstheme="minorHAnsi"/>
          <w:sz w:val="22"/>
          <w:szCs w:val="22"/>
        </w:rPr>
        <w:t xml:space="preserve"> </w:t>
      </w:r>
      <w:r w:rsidRPr="00AA6D9E">
        <w:rPr>
          <w:rFonts w:cstheme="minorHAnsi"/>
          <w:sz w:val="22"/>
          <w:szCs w:val="22"/>
        </w:rPr>
        <w:t xml:space="preserve">contextual factor relates to the </w:t>
      </w:r>
      <w:r w:rsidR="00AA6D9E" w:rsidRPr="00AA6D9E">
        <w:rPr>
          <w:rFonts w:cstheme="minorHAnsi"/>
          <w:sz w:val="22"/>
          <w:szCs w:val="22"/>
        </w:rPr>
        <w:t>practical</w:t>
      </w:r>
      <w:r w:rsidRPr="00AA6D9E">
        <w:rPr>
          <w:rFonts w:cstheme="minorHAnsi"/>
          <w:sz w:val="22"/>
          <w:szCs w:val="22"/>
        </w:rPr>
        <w:t xml:space="preserve"> </w:t>
      </w:r>
      <w:r w:rsidR="00AA6D9E" w:rsidRPr="00AA6D9E">
        <w:rPr>
          <w:rFonts w:cstheme="minorHAnsi"/>
          <w:sz w:val="22"/>
          <w:szCs w:val="22"/>
        </w:rPr>
        <w:t>utility</w:t>
      </w:r>
      <w:r w:rsidRPr="00AA6D9E">
        <w:rPr>
          <w:rFonts w:cstheme="minorHAnsi"/>
          <w:sz w:val="22"/>
          <w:szCs w:val="22"/>
        </w:rPr>
        <w:t xml:space="preserve"> </w:t>
      </w:r>
      <w:r w:rsidR="00AA6D9E" w:rsidRPr="00AA6D9E">
        <w:rPr>
          <w:rFonts w:cstheme="minorHAnsi"/>
          <w:sz w:val="22"/>
          <w:szCs w:val="22"/>
        </w:rPr>
        <w:t xml:space="preserve">of </w:t>
      </w:r>
      <w:r w:rsidRPr="00AA6D9E">
        <w:rPr>
          <w:rFonts w:cstheme="minorHAnsi"/>
          <w:sz w:val="22"/>
          <w:szCs w:val="22"/>
        </w:rPr>
        <w:t>the exceptions provided in the Act. While libraries are permitted to circumvent TPMs under the regulations</w:t>
      </w:r>
      <w:r w:rsidR="00AA6D9E" w:rsidRPr="00AA6D9E">
        <w:rPr>
          <w:rFonts w:cstheme="minorHAnsi"/>
          <w:sz w:val="22"/>
          <w:szCs w:val="22"/>
        </w:rPr>
        <w:t xml:space="preserve"> for certain limited purposes</w:t>
      </w:r>
      <w:r w:rsidRPr="00AA6D9E">
        <w:rPr>
          <w:rFonts w:cstheme="minorHAnsi"/>
          <w:sz w:val="22"/>
          <w:szCs w:val="22"/>
        </w:rPr>
        <w:t xml:space="preserve">, their </w:t>
      </w:r>
      <w:r w:rsidR="00AA6D9E" w:rsidRPr="00AA6D9E">
        <w:rPr>
          <w:rFonts w:cstheme="minorHAnsi"/>
          <w:sz w:val="22"/>
          <w:szCs w:val="22"/>
        </w:rPr>
        <w:t xml:space="preserve">practical </w:t>
      </w:r>
      <w:r w:rsidRPr="00AA6D9E">
        <w:rPr>
          <w:rFonts w:cstheme="minorHAnsi"/>
          <w:sz w:val="22"/>
          <w:szCs w:val="22"/>
        </w:rPr>
        <w:t xml:space="preserve">ability to do so is impeded by lack of resources </w:t>
      </w:r>
      <w:r w:rsidRPr="00AA6D9E">
        <w:rPr>
          <w:rFonts w:cstheme="minorHAnsi"/>
          <w:sz w:val="22"/>
          <w:szCs w:val="22"/>
        </w:rPr>
        <w:lastRenderedPageBreak/>
        <w:t>and expertise within the institutions. Should libraries and cultural institutions be given the ability to contract out for the circumvention of TPMs on material in their collections, the operability of the exceptions in the regulations would be vastly improved.</w:t>
      </w:r>
      <w:r w:rsidR="00AA6D9E" w:rsidRPr="00AA6D9E">
        <w:rPr>
          <w:rStyle w:val="FootnoteReference"/>
          <w:rFonts w:cstheme="minorHAnsi"/>
          <w:sz w:val="22"/>
          <w:szCs w:val="22"/>
        </w:rPr>
        <w:footnoteReference w:id="4"/>
      </w:r>
      <w:r w:rsidR="00AA6D9E" w:rsidRPr="00AA6D9E">
        <w:rPr>
          <w:rFonts w:cstheme="minorHAnsi"/>
          <w:sz w:val="22"/>
          <w:szCs w:val="22"/>
        </w:rPr>
        <w:t xml:space="preserve"> </w:t>
      </w:r>
      <w:r w:rsidRPr="00AA6D9E">
        <w:rPr>
          <w:rFonts w:cstheme="minorHAnsi"/>
          <w:sz w:val="22"/>
          <w:szCs w:val="22"/>
        </w:rPr>
        <w:t xml:space="preserve"> As </w:t>
      </w:r>
      <w:r w:rsidR="00AA6D9E" w:rsidRPr="00AA6D9E">
        <w:rPr>
          <w:rFonts w:cstheme="minorHAnsi"/>
          <w:sz w:val="22"/>
          <w:szCs w:val="22"/>
        </w:rPr>
        <w:t xml:space="preserve">the regulation making power in </w:t>
      </w:r>
      <w:r w:rsidRPr="00AA6D9E">
        <w:rPr>
          <w:rFonts w:cstheme="minorHAnsi"/>
          <w:sz w:val="22"/>
          <w:szCs w:val="22"/>
        </w:rPr>
        <w:t xml:space="preserve">s249 of the Act does not cover </w:t>
      </w:r>
      <w:r w:rsidR="00AA6D9E" w:rsidRPr="00AA6D9E">
        <w:rPr>
          <w:rFonts w:cstheme="minorHAnsi"/>
          <w:sz w:val="22"/>
          <w:szCs w:val="22"/>
        </w:rPr>
        <w:t>the consideration of exceptions for the manufacture of circumvention devices or the provision of circumvention services</w:t>
      </w:r>
      <w:r w:rsidRPr="00AA6D9E">
        <w:rPr>
          <w:rFonts w:cstheme="minorHAnsi"/>
          <w:sz w:val="22"/>
          <w:szCs w:val="22"/>
        </w:rPr>
        <w:t xml:space="preserve">, however, we suggest that the scope of the ALRC’s current Inquiry into copyright exceptions be understood to include </w:t>
      </w:r>
      <w:r w:rsidR="00B503C4" w:rsidRPr="00AA6D9E">
        <w:rPr>
          <w:rFonts w:cstheme="minorHAnsi"/>
          <w:sz w:val="22"/>
          <w:szCs w:val="22"/>
        </w:rPr>
        <w:t>considerations of TPM use and circumvention which fall outside the scope of this review.</w:t>
      </w:r>
    </w:p>
    <w:p w:rsidR="0061609B" w:rsidRDefault="0061609B" w:rsidP="00E91ECD">
      <w:pPr>
        <w:spacing w:after="120"/>
        <w:jc w:val="both"/>
        <w:rPr>
          <w:rFonts w:cstheme="minorHAnsi"/>
          <w:b/>
          <w:bCs/>
          <w:sz w:val="28"/>
          <w:szCs w:val="28"/>
        </w:rPr>
      </w:pPr>
    </w:p>
    <w:p w:rsidR="00832616" w:rsidRPr="00AA6D9E" w:rsidRDefault="00832616" w:rsidP="00E91ECD">
      <w:pPr>
        <w:spacing w:after="120"/>
        <w:jc w:val="both"/>
        <w:rPr>
          <w:rFonts w:cstheme="minorHAnsi"/>
          <w:b/>
          <w:bCs/>
          <w:sz w:val="28"/>
          <w:szCs w:val="28"/>
        </w:rPr>
      </w:pPr>
      <w:r w:rsidRPr="00AA6D9E">
        <w:rPr>
          <w:rFonts w:cstheme="minorHAnsi"/>
          <w:b/>
          <w:bCs/>
          <w:sz w:val="28"/>
          <w:szCs w:val="28"/>
        </w:rPr>
        <w:t>Recommendations</w:t>
      </w:r>
    </w:p>
    <w:p w:rsidR="00832616" w:rsidRPr="00AA6D9E" w:rsidRDefault="00832616" w:rsidP="00E91ECD">
      <w:pPr>
        <w:numPr>
          <w:ilvl w:val="0"/>
          <w:numId w:val="25"/>
        </w:numPr>
        <w:spacing w:before="120" w:after="0"/>
        <w:jc w:val="both"/>
        <w:rPr>
          <w:rFonts w:cstheme="minorHAnsi"/>
          <w:b/>
          <w:bCs/>
          <w:sz w:val="22"/>
          <w:szCs w:val="22"/>
        </w:rPr>
      </w:pPr>
      <w:r w:rsidRPr="00AA6D9E">
        <w:rPr>
          <w:rFonts w:cstheme="minorHAnsi"/>
          <w:b/>
          <w:bCs/>
          <w:sz w:val="22"/>
          <w:szCs w:val="22"/>
        </w:rPr>
        <w:t>That exceptions to anti-circumvention laws covering access to works for the purpose of making non-infringing copies of those works for the purposes of fair dealing be implemented;</w:t>
      </w:r>
    </w:p>
    <w:p w:rsidR="00832616" w:rsidRPr="00AA6D9E" w:rsidRDefault="00832616" w:rsidP="00E91ECD">
      <w:pPr>
        <w:numPr>
          <w:ilvl w:val="0"/>
          <w:numId w:val="25"/>
        </w:numPr>
        <w:spacing w:before="120" w:after="0"/>
        <w:jc w:val="both"/>
        <w:rPr>
          <w:rFonts w:cstheme="minorHAnsi"/>
          <w:b/>
          <w:bCs/>
          <w:sz w:val="22"/>
          <w:szCs w:val="22"/>
        </w:rPr>
      </w:pPr>
      <w:r w:rsidRPr="00AA6D9E">
        <w:rPr>
          <w:rFonts w:cstheme="minorHAnsi"/>
          <w:b/>
          <w:bCs/>
          <w:sz w:val="22"/>
          <w:szCs w:val="22"/>
        </w:rPr>
        <w:t xml:space="preserve">That exceptions to anti-circumvention laws covering access to works </w:t>
      </w:r>
      <w:r w:rsidR="00AA6D9E">
        <w:rPr>
          <w:rFonts w:cstheme="minorHAnsi"/>
          <w:b/>
          <w:bCs/>
          <w:sz w:val="22"/>
          <w:szCs w:val="22"/>
        </w:rPr>
        <w:t xml:space="preserve">by libraries </w:t>
      </w:r>
      <w:r w:rsidRPr="00AA6D9E">
        <w:rPr>
          <w:rFonts w:cstheme="minorHAnsi"/>
          <w:b/>
          <w:bCs/>
          <w:sz w:val="22"/>
          <w:szCs w:val="22"/>
        </w:rPr>
        <w:t xml:space="preserve">to undertake activities pursuant to s.49, s.50, s.51A, and s.183 of the </w:t>
      </w:r>
      <w:r w:rsidRPr="00AA6D9E">
        <w:rPr>
          <w:rFonts w:cstheme="minorHAnsi"/>
          <w:b/>
          <w:bCs/>
          <w:i/>
          <w:iCs/>
          <w:sz w:val="22"/>
          <w:szCs w:val="22"/>
        </w:rPr>
        <w:t>Copyright Act 1968</w:t>
      </w:r>
      <w:r w:rsidRPr="00AA6D9E">
        <w:rPr>
          <w:rFonts w:cstheme="minorHAnsi"/>
          <w:b/>
          <w:bCs/>
          <w:sz w:val="22"/>
          <w:szCs w:val="22"/>
        </w:rPr>
        <w:t xml:space="preserve"> be preserved;</w:t>
      </w:r>
      <w:r w:rsidR="00AA6D9E">
        <w:rPr>
          <w:rFonts w:cstheme="minorHAnsi"/>
          <w:b/>
          <w:bCs/>
          <w:sz w:val="22"/>
          <w:szCs w:val="22"/>
        </w:rPr>
        <w:t xml:space="preserve"> and the extension of these exceptions to cover activities permitted by the </w:t>
      </w:r>
      <w:r w:rsidR="00AA6D9E" w:rsidRPr="00AA6D9E">
        <w:rPr>
          <w:rFonts w:cstheme="minorHAnsi"/>
          <w:b/>
          <w:bCs/>
          <w:sz w:val="22"/>
          <w:szCs w:val="22"/>
        </w:rPr>
        <w:t>flexible dealing provision in s200AB of the</w:t>
      </w:r>
      <w:r w:rsidR="00AA6D9E" w:rsidRPr="00AA6D9E">
        <w:rPr>
          <w:rFonts w:cstheme="minorHAnsi"/>
          <w:b/>
          <w:bCs/>
          <w:i/>
          <w:iCs/>
          <w:sz w:val="22"/>
          <w:szCs w:val="22"/>
        </w:rPr>
        <w:t xml:space="preserve"> Copyright Act 1968</w:t>
      </w:r>
      <w:r w:rsidR="00AA6D9E" w:rsidRPr="00AA6D9E">
        <w:rPr>
          <w:rFonts w:cstheme="minorHAnsi"/>
          <w:b/>
          <w:bCs/>
          <w:sz w:val="22"/>
          <w:szCs w:val="22"/>
        </w:rPr>
        <w:t>;</w:t>
      </w:r>
    </w:p>
    <w:p w:rsidR="00832616" w:rsidRPr="00EF7709" w:rsidRDefault="00832616" w:rsidP="00E91ECD">
      <w:pPr>
        <w:numPr>
          <w:ilvl w:val="0"/>
          <w:numId w:val="25"/>
        </w:numPr>
        <w:spacing w:before="120" w:after="0" w:line="240" w:lineRule="auto"/>
        <w:jc w:val="both"/>
        <w:rPr>
          <w:rFonts w:cstheme="minorHAnsi"/>
          <w:b/>
          <w:bCs/>
          <w:sz w:val="22"/>
          <w:szCs w:val="22"/>
          <w:u w:val="single"/>
        </w:rPr>
      </w:pPr>
      <w:r w:rsidRPr="00AA6D9E">
        <w:rPr>
          <w:rFonts w:cstheme="minorHAnsi"/>
          <w:b/>
          <w:bCs/>
          <w:sz w:val="22"/>
          <w:szCs w:val="22"/>
        </w:rPr>
        <w:t xml:space="preserve">That exceptions to anti-circumvention laws are implemented covering access to works </w:t>
      </w:r>
      <w:r w:rsidR="00AA6D9E" w:rsidRPr="00AA6D9E">
        <w:rPr>
          <w:rFonts w:cstheme="minorHAnsi"/>
          <w:b/>
          <w:bCs/>
          <w:sz w:val="22"/>
          <w:szCs w:val="22"/>
        </w:rPr>
        <w:t>for educational institutions, facilitating flexible dealing under s200AB, and utilising the Part VA and fair dealing exceptions</w:t>
      </w:r>
      <w:r w:rsidR="00EF7709">
        <w:rPr>
          <w:rFonts w:cstheme="minorHAnsi"/>
          <w:b/>
          <w:bCs/>
          <w:sz w:val="22"/>
          <w:szCs w:val="22"/>
        </w:rPr>
        <w:t xml:space="preserve">, as outlined in </w:t>
      </w:r>
      <w:r w:rsidR="00EF7709" w:rsidRPr="00EF7709">
        <w:rPr>
          <w:rFonts w:cstheme="minorHAnsi"/>
          <w:b/>
          <w:bCs/>
          <w:sz w:val="22"/>
          <w:szCs w:val="22"/>
        </w:rPr>
        <w:t xml:space="preserve">the submissions of the Copyright Advisory Group of the Standing Council on School Education and Early Childhood and Universities Australia to this inquiry </w:t>
      </w:r>
      <w:r w:rsidR="00AA6D9E" w:rsidRPr="00EF7709">
        <w:rPr>
          <w:rFonts w:cstheme="minorHAnsi"/>
          <w:b/>
          <w:bCs/>
          <w:sz w:val="22"/>
          <w:szCs w:val="22"/>
        </w:rPr>
        <w:t xml:space="preserve">. </w:t>
      </w:r>
    </w:p>
    <w:p w:rsidR="009A13B4" w:rsidRDefault="009A13B4" w:rsidP="00E91ECD">
      <w:pPr>
        <w:spacing w:after="120"/>
        <w:jc w:val="both"/>
        <w:rPr>
          <w:rFonts w:cstheme="minorHAnsi"/>
          <w:sz w:val="22"/>
          <w:szCs w:val="22"/>
        </w:rPr>
      </w:pPr>
    </w:p>
    <w:p w:rsidR="00832616" w:rsidRPr="00AA6D9E" w:rsidRDefault="009A13B4" w:rsidP="00E91ECD">
      <w:pPr>
        <w:spacing w:after="120"/>
        <w:jc w:val="both"/>
        <w:rPr>
          <w:rFonts w:cstheme="minorHAnsi"/>
          <w:b/>
          <w:bCs/>
          <w:sz w:val="22"/>
          <w:szCs w:val="22"/>
        </w:rPr>
      </w:pPr>
      <w:r w:rsidRPr="009A13B4">
        <w:rPr>
          <w:rFonts w:cstheme="minorHAnsi"/>
          <w:sz w:val="22"/>
          <w:szCs w:val="22"/>
        </w:rPr>
        <w:t xml:space="preserve">The ADA and ALCC would welcome the opportunity to make further submissions should the </w:t>
      </w:r>
      <w:r>
        <w:rPr>
          <w:rFonts w:cstheme="minorHAnsi"/>
          <w:sz w:val="22"/>
          <w:szCs w:val="22"/>
        </w:rPr>
        <w:t>Department</w:t>
      </w:r>
      <w:r w:rsidRPr="009A13B4">
        <w:rPr>
          <w:rFonts w:cstheme="minorHAnsi"/>
          <w:sz w:val="22"/>
          <w:szCs w:val="22"/>
        </w:rPr>
        <w:t xml:space="preserve"> require them. If there are other issues, analysis or evidence which the ADA and ALCC can usefully provide information to the </w:t>
      </w:r>
      <w:r>
        <w:rPr>
          <w:rFonts w:cstheme="minorHAnsi"/>
          <w:sz w:val="22"/>
          <w:szCs w:val="22"/>
        </w:rPr>
        <w:t>Department</w:t>
      </w:r>
      <w:r w:rsidRPr="009A13B4">
        <w:rPr>
          <w:rFonts w:cstheme="minorHAnsi"/>
          <w:sz w:val="22"/>
          <w:szCs w:val="22"/>
        </w:rPr>
        <w:t xml:space="preserve">, the principal contact is Ellen Broad, copyright law and policy adviser, who can be contacted at </w:t>
      </w:r>
      <w:hyperlink r:id="rId8" w:history="1">
        <w:r w:rsidRPr="009A13B4">
          <w:rPr>
            <w:rStyle w:val="Hyperlink"/>
            <w:rFonts w:cstheme="minorHAnsi"/>
            <w:sz w:val="22"/>
            <w:szCs w:val="22"/>
          </w:rPr>
          <w:t>ebroad@nla.gov.au</w:t>
        </w:r>
      </w:hyperlink>
      <w:r w:rsidRPr="009A13B4">
        <w:rPr>
          <w:rFonts w:cstheme="minorHAnsi"/>
          <w:sz w:val="22"/>
          <w:szCs w:val="22"/>
        </w:rPr>
        <w:t xml:space="preserve"> or (02) 6262 1273.</w:t>
      </w:r>
    </w:p>
    <w:sectPr w:rsidR="00832616" w:rsidRPr="00AA6D9E" w:rsidSect="006049BA">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C5" w:rsidRDefault="003045C5" w:rsidP="0021492A">
      <w:r>
        <w:separator/>
      </w:r>
    </w:p>
    <w:p w:rsidR="003045C5" w:rsidRDefault="003045C5" w:rsidP="0021492A"/>
    <w:p w:rsidR="003045C5" w:rsidRDefault="003045C5" w:rsidP="0021492A"/>
  </w:endnote>
  <w:endnote w:type="continuationSeparator" w:id="0">
    <w:p w:rsidR="003045C5" w:rsidRDefault="003045C5" w:rsidP="0021492A">
      <w:r>
        <w:continuationSeparator/>
      </w:r>
    </w:p>
    <w:p w:rsidR="003045C5" w:rsidRDefault="003045C5" w:rsidP="0021492A"/>
    <w:p w:rsidR="003045C5" w:rsidRDefault="003045C5" w:rsidP="002149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宋体">
    <w:charset w:val="50"/>
    <w:family w:val="auto"/>
    <w:pitch w:val="variable"/>
    <w:sig w:usb0="00000001" w:usb1="00000000" w:usb2="0100040E" w:usb3="00000000" w:csb0="00040000" w:csb1="00000000"/>
  </w:font>
  <w:font w:name="Minion Pro">
    <w:panose1 w:val="00000000000000000000"/>
    <w:charset w:val="00"/>
    <w:family w:val="roman"/>
    <w:notTrueType/>
    <w:pitch w:val="variable"/>
    <w:sig w:usb0="60000287" w:usb1="00000001"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5" w:rsidRDefault="003045C5" w:rsidP="003A00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045C5" w:rsidRDefault="003045C5" w:rsidP="003A0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331"/>
      <w:docPartObj>
        <w:docPartGallery w:val="Page Numbers (Bottom of Page)"/>
        <w:docPartUnique/>
      </w:docPartObj>
    </w:sdtPr>
    <w:sdtContent>
      <w:p w:rsidR="003045C5" w:rsidRDefault="003045C5">
        <w:pPr>
          <w:pStyle w:val="Footer"/>
        </w:pPr>
        <w:r w:rsidRPr="00964AD3">
          <w:rPr>
            <w:noProof/>
            <w:lang w:val="en-US" w:eastAsia="zh-CN" w:bidi="th-TH"/>
          </w:rPr>
          <w:drawing>
            <wp:anchor distT="0" distB="0" distL="114300" distR="114300" simplePos="0" relativeHeight="251664384" behindDoc="1" locked="0" layoutInCell="1" allowOverlap="1">
              <wp:simplePos x="0" y="0"/>
              <wp:positionH relativeFrom="column">
                <wp:posOffset>-367402</wp:posOffset>
              </wp:positionH>
              <wp:positionV relativeFrom="paragraph">
                <wp:posOffset>35122</wp:posOffset>
              </wp:positionV>
              <wp:extent cx="6444812" cy="769358"/>
              <wp:effectExtent l="19050" t="0" r="0" b="0"/>
              <wp:wrapNone/>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812" cy="769358"/>
                      </a:xfrm>
                      <a:prstGeom prst="rect">
                        <a:avLst/>
                      </a:prstGeom>
                    </pic:spPr>
                  </pic:pic>
                </a:graphicData>
              </a:graphic>
            </wp:anchor>
          </w:drawing>
        </w:r>
        <w:fldSimple w:instr=" PAGE   \* MERGEFORMAT ">
          <w:r w:rsidR="003A0A48">
            <w:rPr>
              <w:noProof/>
            </w:rPr>
            <w:t>2</w:t>
          </w:r>
        </w:fldSimple>
      </w:p>
    </w:sdtContent>
  </w:sdt>
  <w:p w:rsidR="003045C5" w:rsidRPr="003A006B" w:rsidRDefault="003045C5" w:rsidP="003A0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5" w:rsidRDefault="003045C5" w:rsidP="003A006B">
    <w:pPr>
      <w:pStyle w:val="Footer"/>
    </w:pPr>
    <w:r>
      <w:rPr>
        <w:noProof/>
        <w:lang w:val="en-US" w:eastAsia="zh-CN" w:bidi="th-TH"/>
      </w:rPr>
      <w:drawing>
        <wp:anchor distT="0" distB="0" distL="114300" distR="114300" simplePos="0" relativeHeight="251662336" behindDoc="1" locked="0" layoutInCell="1" allowOverlap="1">
          <wp:simplePos x="0" y="0"/>
          <wp:positionH relativeFrom="column">
            <wp:posOffset>-516700</wp:posOffset>
          </wp:positionH>
          <wp:positionV relativeFrom="paragraph">
            <wp:posOffset>-169545</wp:posOffset>
          </wp:positionV>
          <wp:extent cx="6444000" cy="77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0" cy="770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C5" w:rsidRDefault="003045C5" w:rsidP="0021492A">
      <w:r>
        <w:separator/>
      </w:r>
    </w:p>
  </w:footnote>
  <w:footnote w:type="continuationSeparator" w:id="0">
    <w:p w:rsidR="003045C5" w:rsidRDefault="003045C5" w:rsidP="0021492A">
      <w:r>
        <w:continuationSeparator/>
      </w:r>
    </w:p>
  </w:footnote>
  <w:footnote w:type="continuationNotice" w:id="1">
    <w:p w:rsidR="003045C5" w:rsidRDefault="003045C5">
      <w:pPr>
        <w:spacing w:before="0" w:after="0" w:line="240" w:lineRule="auto"/>
      </w:pPr>
    </w:p>
  </w:footnote>
  <w:footnote w:id="2">
    <w:p w:rsidR="003045C5" w:rsidRDefault="003045C5" w:rsidP="00E91ECD">
      <w:pPr>
        <w:pStyle w:val="FootnoteText"/>
        <w:spacing w:before="0" w:after="0"/>
      </w:pPr>
      <w:r>
        <w:rPr>
          <w:rStyle w:val="FootnoteReference"/>
        </w:rPr>
        <w:footnoteRef/>
      </w:r>
      <w:r>
        <w:t xml:space="preserve">See, for example </w:t>
      </w:r>
      <w:hyperlink r:id="rId1" w:history="1">
        <w:r>
          <w:rPr>
            <w:rStyle w:val="Hyperlink"/>
          </w:rPr>
          <w:t>http://vhs-to-dvd-converters-review.toptenreviews.com/diamond-video-capture-review.html</w:t>
        </w:r>
      </w:hyperlink>
    </w:p>
  </w:footnote>
  <w:footnote w:id="3">
    <w:p w:rsidR="003045C5" w:rsidRDefault="003045C5" w:rsidP="00E91ECD">
      <w:pPr>
        <w:pStyle w:val="FootnoteText"/>
        <w:spacing w:before="0" w:after="0"/>
      </w:pPr>
      <w:r>
        <w:rPr>
          <w:rStyle w:val="FootnoteReference"/>
        </w:rPr>
        <w:footnoteRef/>
      </w:r>
      <w:r>
        <w:t xml:space="preserve"> Available at </w:t>
      </w:r>
      <w:hyperlink r:id="rId2" w:history="1">
        <w:r>
          <w:rPr>
            <w:rStyle w:val="Hyperlink"/>
          </w:rPr>
          <w:t>http://www.digital.org.au/our-work/submission/review-technological-protection-measures-exceptions</w:t>
        </w:r>
      </w:hyperlink>
    </w:p>
  </w:footnote>
  <w:footnote w:id="4">
    <w:p w:rsidR="003045C5" w:rsidRDefault="003045C5" w:rsidP="00E91ECD">
      <w:pPr>
        <w:pStyle w:val="FootnoteText"/>
        <w:spacing w:before="0" w:after="0"/>
      </w:pPr>
      <w:r>
        <w:rPr>
          <w:rStyle w:val="FootnoteReference"/>
        </w:rPr>
        <w:footnoteRef/>
      </w:r>
      <w:r>
        <w:t xml:space="preserve"> International Study on the Impact of Copyright Law on Digital Preservation, </w:t>
      </w:r>
      <w:r w:rsidRPr="0061609B">
        <w:rPr>
          <w:i/>
          <w:iCs/>
        </w:rPr>
        <w:t>Country Report for Australia</w:t>
      </w:r>
      <w:r>
        <w:t xml:space="preserve"> compiled by Benedict Atkinson, Emma Carroll, Jessica Coates and Brian Fitzgerald (2008) p28. Available at </w:t>
      </w:r>
      <w:hyperlink r:id="rId3" w:history="1">
        <w:r>
          <w:rPr>
            <w:rStyle w:val="Hyperlink"/>
          </w:rPr>
          <w:t>http://www.digitalpreservation.gov/documents/digital_preservation_final_report2008.pdf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5" w:rsidRDefault="003045C5" w:rsidP="00964AD3">
    <w:pPr>
      <w:tabs>
        <w:tab w:val="left" w:pos="-360"/>
        <w:tab w:val="right" w:pos="8280"/>
        <w:tab w:val="left" w:pos="8460"/>
      </w:tabs>
      <w:spacing w:after="60"/>
      <w:ind w:left="-540"/>
      <w:jc w:val="right"/>
      <w:rPr>
        <w:rStyle w:val="PageNumber"/>
        <w:rFonts w:ascii="Arial" w:hAnsi="Arial" w:cs="Arial"/>
        <w:b/>
        <w:sz w:val="16"/>
        <w:szCs w:val="16"/>
      </w:rPr>
    </w:pPr>
    <w:r>
      <w:rPr>
        <w:rStyle w:val="PageNumber"/>
        <w:rFonts w:ascii="Arial" w:hAnsi="Arial" w:cs="Arial"/>
        <w:sz w:val="16"/>
        <w:szCs w:val="16"/>
      </w:rPr>
      <w:tab/>
      <w:t xml:space="preserve">    </w:t>
    </w:r>
    <w:r w:rsidRPr="00100373">
      <w:rPr>
        <w:rStyle w:val="PageNumber"/>
        <w:rFonts w:ascii="Arial" w:hAnsi="Arial" w:cs="Arial"/>
        <w:sz w:val="16"/>
        <w:szCs w:val="16"/>
      </w:rPr>
      <w:t>Australian Digital Alliance</w:t>
    </w:r>
    <w:r w:rsidRPr="00C40CCE">
      <w:rPr>
        <w:rFonts w:ascii="Arial" w:hAnsi="Arial" w:cs="Arial"/>
        <w:sz w:val="16"/>
        <w:szCs w:val="16"/>
      </w:rPr>
      <w:tab/>
    </w:r>
    <w:r>
      <w:rPr>
        <w:rFonts w:ascii="Arial" w:hAnsi="Arial" w:cs="Arial"/>
        <w:sz w:val="16"/>
        <w:szCs w:val="16"/>
      </w:rPr>
      <w:t xml:space="preserve">  </w:t>
    </w:r>
  </w:p>
  <w:p w:rsidR="003045C5" w:rsidRDefault="003045C5" w:rsidP="00964AD3">
    <w:pPr>
      <w:pStyle w:val="Header"/>
      <w:rPr>
        <w:rFonts w:ascii="Arial" w:hAnsi="Arial" w:cs="Arial"/>
        <w:noProof/>
        <w:sz w:val="16"/>
        <w:szCs w:val="16"/>
      </w:rPr>
    </w:pPr>
    <w:r w:rsidRPr="00BF4E1F">
      <w:rPr>
        <w:rFonts w:ascii="Arial" w:hAnsi="Arial" w:cs="Arial"/>
        <w:noProof/>
        <w:sz w:val="16"/>
        <w:szCs w:val="16"/>
      </w:rPr>
      <w:t>Australian Libraries Copyright Committee</w:t>
    </w:r>
  </w:p>
  <w:p w:rsidR="003045C5" w:rsidRDefault="003045C5" w:rsidP="00964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C5" w:rsidRPr="00802405" w:rsidRDefault="003045C5">
    <w:pPr>
      <w:pStyle w:val="Header"/>
      <w:rPr>
        <w:rFonts w:ascii="Arial Narrow" w:hAnsi="Arial Narrow" w:cs="Arial Bold"/>
        <w:b/>
        <w:bCs/>
        <w:color w:val="648FC4"/>
        <w:spacing w:val="-20"/>
        <w:kern w:val="86"/>
        <w:sz w:val="84"/>
        <w:szCs w:val="84"/>
      </w:rPr>
    </w:pPr>
    <w:r w:rsidRPr="00AC482E">
      <w:rPr>
        <w:rFonts w:ascii="Arial Narrow" w:hAnsi="Arial Narrow" w:cs="Arial"/>
        <w:b/>
        <w:bCs/>
        <w:noProof/>
        <w:color w:val="648FC4"/>
        <w:spacing w:val="-90"/>
        <w:kern w:val="86"/>
        <w:sz w:val="84"/>
        <w:szCs w:val="84"/>
        <w:lang w:val="en-US" w:eastAsia="zh-CN" w:bidi="th-TH"/>
      </w:rPr>
      <w:drawing>
        <wp:anchor distT="0" distB="0" distL="114300" distR="114300" simplePos="0" relativeHeight="251666432" behindDoc="1" locked="0" layoutInCell="1" allowOverlap="1">
          <wp:simplePos x="0" y="0"/>
          <wp:positionH relativeFrom="page">
            <wp:posOffset>5179162</wp:posOffset>
          </wp:positionH>
          <wp:positionV relativeFrom="page">
            <wp:posOffset>724205</wp:posOffset>
          </wp:positionV>
          <wp:extent cx="1159306" cy="771103"/>
          <wp:effectExtent l="19050" t="0" r="274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9306" cy="771103"/>
                  </a:xfrm>
                  <a:prstGeom prst="rect">
                    <a:avLst/>
                  </a:prstGeom>
                </pic:spPr>
              </pic:pic>
            </a:graphicData>
          </a:graphic>
        </wp:anchor>
      </w:drawing>
    </w:r>
    <w:r>
      <w:rPr>
        <w:rFonts w:ascii="Arial Narrow" w:hAnsi="Arial Narrow" w:cs="Arial"/>
        <w:b/>
        <w:bCs/>
        <w:noProof/>
        <w:color w:val="648FC4"/>
        <w:spacing w:val="-90"/>
        <w:kern w:val="86"/>
        <w:sz w:val="84"/>
        <w:szCs w:val="84"/>
        <w:lang w:val="en-US" w:eastAsia="zh-CN" w:bidi="th-TH"/>
      </w:rPr>
      <w:t xml:space="preserve"> </w:t>
    </w:r>
    <w:r w:rsidRPr="00802405">
      <w:rPr>
        <w:rFonts w:ascii="Arial Narrow" w:hAnsi="Arial Narrow" w:cs="Arial Bold"/>
        <w:b/>
        <w:bCs/>
        <w:noProof/>
        <w:color w:val="648FC4"/>
        <w:spacing w:val="-20"/>
        <w:kern w:val="86"/>
        <w:sz w:val="84"/>
        <w:szCs w:val="84"/>
        <w:lang w:val="en-US" w:eastAsia="zh-CN" w:bidi="th-TH"/>
      </w:rPr>
      <w:t>AL©C</w:t>
    </w:r>
  </w:p>
  <w:p w:rsidR="003045C5" w:rsidRPr="00802405" w:rsidRDefault="003045C5">
    <w:pPr>
      <w:pStyle w:val="Header"/>
      <w:rPr>
        <w:rFonts w:ascii="Arial Narrow" w:hAnsi="Arial Narrow"/>
        <w:b/>
        <w:bCs/>
        <w:color w:val="4F81BD" w:themeColor="accent1"/>
      </w:rPr>
    </w:pPr>
    <w:r>
      <w:rPr>
        <w:rFonts w:ascii="Arial Narrow" w:hAnsi="Arial Narrow"/>
        <w:b/>
        <w:bCs/>
        <w:color w:val="37648D"/>
        <w:sz w:val="25"/>
        <w:szCs w:val="25"/>
      </w:rPr>
      <w:t xml:space="preserve">  </w:t>
    </w:r>
    <w:r w:rsidRPr="00802405">
      <w:rPr>
        <w:rFonts w:ascii="Arial Narrow" w:hAnsi="Arial Narrow"/>
        <w:b/>
        <w:bCs/>
        <w:color w:val="4F81BD" w:themeColor="accent1"/>
        <w:sz w:val="25"/>
        <w:szCs w:val="25"/>
      </w:rPr>
      <w:t>Australian Libraries Copyright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7AACC8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FBF4715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87A045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000AE66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E7D8DF26"/>
    <w:lvl w:ilvl="0">
      <w:start w:val="1"/>
      <w:numFmt w:val="decimal"/>
      <w:pStyle w:val="ListNumber"/>
      <w:lvlText w:val="%1."/>
      <w:lvlJc w:val="left"/>
      <w:pPr>
        <w:tabs>
          <w:tab w:val="num" w:pos="360"/>
        </w:tabs>
        <w:ind w:left="360" w:hanging="360"/>
      </w:pPr>
    </w:lvl>
  </w:abstractNum>
  <w:abstractNum w:abstractNumId="5">
    <w:nsid w:val="0387146A"/>
    <w:multiLevelType w:val="hybridMultilevel"/>
    <w:tmpl w:val="6316B9E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nsid w:val="059D0FB9"/>
    <w:multiLevelType w:val="hybridMultilevel"/>
    <w:tmpl w:val="AD32DBF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089B4642"/>
    <w:multiLevelType w:val="hybridMultilevel"/>
    <w:tmpl w:val="49D0349A"/>
    <w:lvl w:ilvl="0" w:tplc="81FABF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14590A"/>
    <w:multiLevelType w:val="hybridMultilevel"/>
    <w:tmpl w:val="4786383E"/>
    <w:lvl w:ilvl="0" w:tplc="17662DD2">
      <w:start w:val="1"/>
      <w:numFmt w:val="bullet"/>
      <w:lvlText w:val="–"/>
      <w:lvlJc w:val="left"/>
      <w:pPr>
        <w:tabs>
          <w:tab w:val="num" w:pos="780"/>
        </w:tabs>
        <w:ind w:left="78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2612274"/>
    <w:multiLevelType w:val="hybridMultilevel"/>
    <w:tmpl w:val="DB3E8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075EB"/>
    <w:multiLevelType w:val="hybridMultilevel"/>
    <w:tmpl w:val="1BC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F1DA6"/>
    <w:multiLevelType w:val="hybridMultilevel"/>
    <w:tmpl w:val="4A180FA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nsid w:val="32360620"/>
    <w:multiLevelType w:val="hybridMultilevel"/>
    <w:tmpl w:val="ED9A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A2C2C"/>
    <w:multiLevelType w:val="hybridMultilevel"/>
    <w:tmpl w:val="48869DF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37515204"/>
    <w:multiLevelType w:val="multilevel"/>
    <w:tmpl w:val="962C7D8E"/>
    <w:lvl w:ilvl="0">
      <w:start w:val="1"/>
      <w:numFmt w:val="decimal"/>
      <w:pStyle w:val="NumberedSpacing"/>
      <w:lvlText w:val="%1."/>
      <w:lvlJc w:val="left"/>
      <w:pPr>
        <w:tabs>
          <w:tab w:val="num" w:pos="368"/>
        </w:tabs>
        <w:ind w:left="368" w:hanging="368"/>
      </w:pPr>
      <w:rPr>
        <w:rFonts w:ascii="Tahoma" w:hAnsi="Tahoma" w:hint="default"/>
        <w:szCs w:val="24"/>
      </w:rPr>
    </w:lvl>
    <w:lvl w:ilvl="1">
      <w:start w:val="1"/>
      <w:numFmt w:val="bullet"/>
      <w:lvlText w:val=""/>
      <w:lvlJc w:val="left"/>
      <w:pPr>
        <w:tabs>
          <w:tab w:val="num" w:pos="709"/>
        </w:tabs>
        <w:ind w:left="709" w:firstLine="229"/>
      </w:pPr>
      <w:rPr>
        <w:rFonts w:ascii="Symbol" w:hAnsi="Symbol" w:cs="Times New Roman" w:hint="default"/>
        <w:szCs w:val="24"/>
      </w:rPr>
    </w:lvl>
    <w:lvl w:ilvl="2">
      <w:start w:val="1"/>
      <w:numFmt w:val="lowerRoman"/>
      <w:lvlText w:val="%3."/>
      <w:lvlJc w:val="right"/>
      <w:pPr>
        <w:tabs>
          <w:tab w:val="num" w:pos="2018"/>
        </w:tabs>
        <w:ind w:left="2018" w:hanging="180"/>
      </w:pPr>
      <w:rPr>
        <w:rFonts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5">
    <w:nsid w:val="37C07870"/>
    <w:multiLevelType w:val="hybridMultilevel"/>
    <w:tmpl w:val="CAE8BFD2"/>
    <w:lvl w:ilvl="0" w:tplc="8A963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F0569"/>
    <w:multiLevelType w:val="hybridMultilevel"/>
    <w:tmpl w:val="77961FD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nsid w:val="39E96FC0"/>
    <w:multiLevelType w:val="multilevel"/>
    <w:tmpl w:val="3364E61C"/>
    <w:lvl w:ilvl="0">
      <w:start w:val="1"/>
      <w:numFmt w:val="bullet"/>
      <w:pStyle w:val="ListBullet"/>
      <w:lvlText w:val=""/>
      <w:lvlJc w:val="left"/>
      <w:pPr>
        <w:ind w:left="850" w:hanging="425"/>
      </w:pPr>
      <w:rPr>
        <w:rFonts w:ascii="Symbol" w:hAnsi="Symbol" w:hint="default"/>
      </w:rPr>
    </w:lvl>
    <w:lvl w:ilvl="1">
      <w:start w:val="1"/>
      <w:numFmt w:val="bullet"/>
      <w:lvlText w:val=""/>
      <w:lvlJc w:val="left"/>
      <w:pPr>
        <w:tabs>
          <w:tab w:val="num" w:pos="851"/>
        </w:tabs>
        <w:ind w:left="993" w:hanging="284"/>
      </w:pPr>
      <w:rPr>
        <w:rFonts w:ascii="Symbol" w:hAnsi="Symbol" w:hint="default"/>
      </w:rPr>
    </w:lvl>
    <w:lvl w:ilvl="2">
      <w:start w:val="1"/>
      <w:numFmt w:val="bullet"/>
      <w:lvlText w:val=""/>
      <w:lvlJc w:val="left"/>
      <w:pPr>
        <w:tabs>
          <w:tab w:val="num" w:pos="993"/>
        </w:tabs>
        <w:ind w:left="1277" w:hanging="284"/>
      </w:pPr>
      <w:rPr>
        <w:rFonts w:ascii="Symbol" w:hAnsi="Symbol" w:hint="default"/>
      </w:rPr>
    </w:lvl>
    <w:lvl w:ilvl="3">
      <w:start w:val="1"/>
      <w:numFmt w:val="bullet"/>
      <w:lvlText w:val=""/>
      <w:lvlJc w:val="left"/>
      <w:pPr>
        <w:tabs>
          <w:tab w:val="num" w:pos="1135"/>
        </w:tabs>
        <w:ind w:left="1561" w:hanging="284"/>
      </w:pPr>
      <w:rPr>
        <w:rFonts w:ascii="Symbol" w:hAnsi="Symbol" w:hint="default"/>
      </w:rPr>
    </w:lvl>
    <w:lvl w:ilvl="4">
      <w:start w:val="1"/>
      <w:numFmt w:val="bullet"/>
      <w:lvlText w:val=""/>
      <w:lvlJc w:val="left"/>
      <w:pPr>
        <w:tabs>
          <w:tab w:val="num" w:pos="1277"/>
        </w:tabs>
        <w:ind w:left="1845" w:hanging="284"/>
      </w:pPr>
      <w:rPr>
        <w:rFonts w:ascii="Symbol" w:hAnsi="Symbol" w:hint="default"/>
      </w:rPr>
    </w:lvl>
    <w:lvl w:ilvl="5">
      <w:start w:val="1"/>
      <w:numFmt w:val="bullet"/>
      <w:lvlText w:val=""/>
      <w:lvlJc w:val="left"/>
      <w:pPr>
        <w:tabs>
          <w:tab w:val="num" w:pos="1419"/>
        </w:tabs>
        <w:ind w:left="2129" w:hanging="284"/>
      </w:pPr>
      <w:rPr>
        <w:rFonts w:ascii="Symbol" w:hAnsi="Symbol" w:hint="default"/>
      </w:rPr>
    </w:lvl>
    <w:lvl w:ilvl="6">
      <w:start w:val="1"/>
      <w:numFmt w:val="bullet"/>
      <w:lvlText w:val=""/>
      <w:lvlJc w:val="left"/>
      <w:pPr>
        <w:tabs>
          <w:tab w:val="num" w:pos="1561"/>
        </w:tabs>
        <w:ind w:left="2413" w:hanging="284"/>
      </w:pPr>
      <w:rPr>
        <w:rFonts w:ascii="Symbol" w:hAnsi="Symbol" w:hint="default"/>
      </w:rPr>
    </w:lvl>
    <w:lvl w:ilvl="7">
      <w:start w:val="1"/>
      <w:numFmt w:val="bullet"/>
      <w:lvlText w:val=""/>
      <w:lvlJc w:val="left"/>
      <w:pPr>
        <w:tabs>
          <w:tab w:val="num" w:pos="1703"/>
        </w:tabs>
        <w:ind w:left="2697" w:hanging="284"/>
      </w:pPr>
      <w:rPr>
        <w:rFonts w:ascii="Symbol" w:hAnsi="Symbol" w:hint="default"/>
      </w:rPr>
    </w:lvl>
    <w:lvl w:ilvl="8">
      <w:start w:val="1"/>
      <w:numFmt w:val="bullet"/>
      <w:lvlText w:val=""/>
      <w:lvlJc w:val="left"/>
      <w:pPr>
        <w:tabs>
          <w:tab w:val="num" w:pos="1845"/>
        </w:tabs>
        <w:ind w:left="2981" w:hanging="284"/>
      </w:pPr>
      <w:rPr>
        <w:rFonts w:ascii="Symbol" w:hAnsi="Symbol" w:hint="default"/>
      </w:rPr>
    </w:lvl>
  </w:abstractNum>
  <w:abstractNum w:abstractNumId="18">
    <w:nsid w:val="3A6E5FDA"/>
    <w:multiLevelType w:val="hybridMultilevel"/>
    <w:tmpl w:val="F508D53E"/>
    <w:lvl w:ilvl="0" w:tplc="04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9">
    <w:nsid w:val="3EF04900"/>
    <w:multiLevelType w:val="hybridMultilevel"/>
    <w:tmpl w:val="A58673EA"/>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nsid w:val="4AC37027"/>
    <w:multiLevelType w:val="hybridMultilevel"/>
    <w:tmpl w:val="B7163E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F214150"/>
    <w:multiLevelType w:val="hybridMultilevel"/>
    <w:tmpl w:val="D2C0B3AC"/>
    <w:lvl w:ilvl="0" w:tplc="64E28E50">
      <w:numFmt w:val="bullet"/>
      <w:lvlText w:val="-"/>
      <w:lvlJc w:val="left"/>
      <w:pPr>
        <w:ind w:left="1440" w:hanging="360"/>
      </w:pPr>
      <w:rPr>
        <w:rFonts w:ascii="Arial" w:eastAsia="Calibr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604D2A40"/>
    <w:multiLevelType w:val="hybridMultilevel"/>
    <w:tmpl w:val="2234ADF8"/>
    <w:lvl w:ilvl="0" w:tplc="04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3">
    <w:nsid w:val="63126BC5"/>
    <w:multiLevelType w:val="multilevel"/>
    <w:tmpl w:val="8EEA2EAA"/>
    <w:styleLink w:val="Style1"/>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650528B"/>
    <w:multiLevelType w:val="hybridMultilevel"/>
    <w:tmpl w:val="30D26E46"/>
    <w:lvl w:ilvl="0" w:tplc="8C8C5FF8">
      <w:numFmt w:val="bullet"/>
      <w:lvlText w:val="-"/>
      <w:lvlJc w:val="left"/>
      <w:pPr>
        <w:ind w:left="390" w:hanging="360"/>
      </w:pPr>
      <w:rPr>
        <w:rFonts w:ascii="Calibri" w:eastAsia="Times New Roman"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75B566A1"/>
    <w:multiLevelType w:val="hybridMultilevel"/>
    <w:tmpl w:val="326000DC"/>
    <w:lvl w:ilvl="0" w:tplc="0C090017">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nsid w:val="76B13D9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8970041"/>
    <w:multiLevelType w:val="hybridMultilevel"/>
    <w:tmpl w:val="DD8E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4156A"/>
    <w:multiLevelType w:val="hybridMultilevel"/>
    <w:tmpl w:val="5ED43DA2"/>
    <w:lvl w:ilvl="0" w:tplc="0C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
  </w:num>
  <w:num w:numId="4">
    <w:abstractNumId w:val="1"/>
  </w:num>
  <w:num w:numId="5">
    <w:abstractNumId w:val="0"/>
  </w:num>
  <w:num w:numId="6">
    <w:abstractNumId w:val="4"/>
  </w:num>
  <w:num w:numId="7">
    <w:abstractNumId w:val="17"/>
  </w:num>
  <w:num w:numId="8">
    <w:abstractNumId w:val="7"/>
  </w:num>
  <w:num w:numId="9">
    <w:abstractNumId w:val="23"/>
  </w:num>
  <w:num w:numId="10">
    <w:abstractNumId w:val="14"/>
  </w:num>
  <w:num w:numId="11">
    <w:abstractNumId w:val="8"/>
  </w:num>
  <w:num w:numId="12">
    <w:abstractNumId w:val="10"/>
  </w:num>
  <w:num w:numId="13">
    <w:abstractNumId w:val="9"/>
  </w:num>
  <w:num w:numId="14">
    <w:abstractNumId w:val="6"/>
  </w:num>
  <w:num w:numId="15">
    <w:abstractNumId w:val="13"/>
  </w:num>
  <w:num w:numId="16">
    <w:abstractNumId w:val="19"/>
  </w:num>
  <w:num w:numId="17">
    <w:abstractNumId w:val="11"/>
  </w:num>
  <w:num w:numId="18">
    <w:abstractNumId w:val="5"/>
  </w:num>
  <w:num w:numId="19">
    <w:abstractNumId w:val="25"/>
  </w:num>
  <w:num w:numId="20">
    <w:abstractNumId w:val="16"/>
  </w:num>
  <w:num w:numId="21">
    <w:abstractNumId w:val="20"/>
  </w:num>
  <w:num w:numId="22">
    <w:abstractNumId w:val="24"/>
  </w:num>
  <w:num w:numId="23">
    <w:abstractNumId w:val="15"/>
  </w:num>
  <w:num w:numId="24">
    <w:abstractNumId w:val="27"/>
  </w:num>
  <w:num w:numId="25">
    <w:abstractNumId w:val="22"/>
  </w:num>
  <w:num w:numId="26">
    <w:abstractNumId w:val="12"/>
  </w:num>
  <w:num w:numId="27">
    <w:abstractNumId w:val="28"/>
  </w:num>
  <w:num w:numId="28">
    <w:abstractNumId w:val="18"/>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1024"/>
  <w:stylePaneSortMethod w:val="0000"/>
  <w:trackRevisions/>
  <w:defaultTabStop w:val="720"/>
  <w:characterSpacingControl w:val="doNotCompress"/>
  <w:hdrShapeDefaults>
    <o:shapedefaults v:ext="edit" spidmax="69633"/>
  </w:hdrShapeDefaults>
  <w:footnotePr>
    <w:footnote w:id="-1"/>
    <w:footnote w:id="0"/>
    <w:footnote w:id="1"/>
  </w:footnotePr>
  <w:endnotePr>
    <w:endnote w:id="-1"/>
    <w:endnote w:id="0"/>
  </w:endnotePr>
  <w:compat/>
  <w:rsids>
    <w:rsidRoot w:val="004036FB"/>
    <w:rsid w:val="0000319A"/>
    <w:rsid w:val="000064F6"/>
    <w:rsid w:val="00021B27"/>
    <w:rsid w:val="00035594"/>
    <w:rsid w:val="00047169"/>
    <w:rsid w:val="00047937"/>
    <w:rsid w:val="000516AE"/>
    <w:rsid w:val="00053526"/>
    <w:rsid w:val="000623D4"/>
    <w:rsid w:val="000A3182"/>
    <w:rsid w:val="000A5CA6"/>
    <w:rsid w:val="000C1410"/>
    <w:rsid w:val="000E0900"/>
    <w:rsid w:val="000F1D99"/>
    <w:rsid w:val="000F40B2"/>
    <w:rsid w:val="000F4487"/>
    <w:rsid w:val="00100C95"/>
    <w:rsid w:val="00100EDC"/>
    <w:rsid w:val="0010469E"/>
    <w:rsid w:val="0010574E"/>
    <w:rsid w:val="00107299"/>
    <w:rsid w:val="001415DB"/>
    <w:rsid w:val="00143213"/>
    <w:rsid w:val="00165E58"/>
    <w:rsid w:val="001674AE"/>
    <w:rsid w:val="001729C9"/>
    <w:rsid w:val="00173789"/>
    <w:rsid w:val="00173D51"/>
    <w:rsid w:val="00183FFF"/>
    <w:rsid w:val="00190E0F"/>
    <w:rsid w:val="00191E9A"/>
    <w:rsid w:val="001A5FD2"/>
    <w:rsid w:val="001E1DC0"/>
    <w:rsid w:val="001F0739"/>
    <w:rsid w:val="0020134E"/>
    <w:rsid w:val="0021492A"/>
    <w:rsid w:val="00227FBE"/>
    <w:rsid w:val="0023388F"/>
    <w:rsid w:val="00245DE7"/>
    <w:rsid w:val="00254F1E"/>
    <w:rsid w:val="002555BF"/>
    <w:rsid w:val="002713FC"/>
    <w:rsid w:val="00276D90"/>
    <w:rsid w:val="002775CB"/>
    <w:rsid w:val="002809E5"/>
    <w:rsid w:val="002835E9"/>
    <w:rsid w:val="0028789C"/>
    <w:rsid w:val="002A7169"/>
    <w:rsid w:val="002B42B2"/>
    <w:rsid w:val="002B5AC0"/>
    <w:rsid w:val="002D6615"/>
    <w:rsid w:val="002E5BCA"/>
    <w:rsid w:val="002F4686"/>
    <w:rsid w:val="003044FD"/>
    <w:rsid w:val="003045C5"/>
    <w:rsid w:val="003118F1"/>
    <w:rsid w:val="0031406E"/>
    <w:rsid w:val="00315088"/>
    <w:rsid w:val="00322FBE"/>
    <w:rsid w:val="00327068"/>
    <w:rsid w:val="00333010"/>
    <w:rsid w:val="0034426E"/>
    <w:rsid w:val="00344703"/>
    <w:rsid w:val="00367053"/>
    <w:rsid w:val="00375BBF"/>
    <w:rsid w:val="00377839"/>
    <w:rsid w:val="00380A81"/>
    <w:rsid w:val="0039436C"/>
    <w:rsid w:val="003949AA"/>
    <w:rsid w:val="003976E1"/>
    <w:rsid w:val="003A006B"/>
    <w:rsid w:val="003A0A48"/>
    <w:rsid w:val="003A0D99"/>
    <w:rsid w:val="003B01DC"/>
    <w:rsid w:val="003B3307"/>
    <w:rsid w:val="003B3B97"/>
    <w:rsid w:val="003E3725"/>
    <w:rsid w:val="003F43F4"/>
    <w:rsid w:val="004015BD"/>
    <w:rsid w:val="004036FB"/>
    <w:rsid w:val="0040452E"/>
    <w:rsid w:val="004106BC"/>
    <w:rsid w:val="004132FA"/>
    <w:rsid w:val="0041571F"/>
    <w:rsid w:val="00421ECA"/>
    <w:rsid w:val="00431C43"/>
    <w:rsid w:val="00450665"/>
    <w:rsid w:val="00452AB7"/>
    <w:rsid w:val="00455C27"/>
    <w:rsid w:val="004572A2"/>
    <w:rsid w:val="00497165"/>
    <w:rsid w:val="004A6C77"/>
    <w:rsid w:val="004C33C3"/>
    <w:rsid w:val="004D1A78"/>
    <w:rsid w:val="004D271F"/>
    <w:rsid w:val="004D76FE"/>
    <w:rsid w:val="004F5483"/>
    <w:rsid w:val="004F56E2"/>
    <w:rsid w:val="004F62CE"/>
    <w:rsid w:val="00500FC7"/>
    <w:rsid w:val="0050694E"/>
    <w:rsid w:val="005166F5"/>
    <w:rsid w:val="00524563"/>
    <w:rsid w:val="0053417D"/>
    <w:rsid w:val="005368AA"/>
    <w:rsid w:val="0054479E"/>
    <w:rsid w:val="00555FF4"/>
    <w:rsid w:val="00556D59"/>
    <w:rsid w:val="00572B41"/>
    <w:rsid w:val="0057544A"/>
    <w:rsid w:val="00582E31"/>
    <w:rsid w:val="00587AE6"/>
    <w:rsid w:val="005B4654"/>
    <w:rsid w:val="005C152F"/>
    <w:rsid w:val="005C4B15"/>
    <w:rsid w:val="005C5621"/>
    <w:rsid w:val="005C66B1"/>
    <w:rsid w:val="005F156D"/>
    <w:rsid w:val="005F1AEA"/>
    <w:rsid w:val="005F1AF0"/>
    <w:rsid w:val="005F3B4C"/>
    <w:rsid w:val="005F76AE"/>
    <w:rsid w:val="005F76F4"/>
    <w:rsid w:val="006049BA"/>
    <w:rsid w:val="00604F17"/>
    <w:rsid w:val="00606536"/>
    <w:rsid w:val="0061609B"/>
    <w:rsid w:val="0062078E"/>
    <w:rsid w:val="00621413"/>
    <w:rsid w:val="00633127"/>
    <w:rsid w:val="006465AD"/>
    <w:rsid w:val="0066273A"/>
    <w:rsid w:val="006740FD"/>
    <w:rsid w:val="00675129"/>
    <w:rsid w:val="00680562"/>
    <w:rsid w:val="00680B4C"/>
    <w:rsid w:val="00694D49"/>
    <w:rsid w:val="006C0F89"/>
    <w:rsid w:val="006D05CA"/>
    <w:rsid w:val="006E22BE"/>
    <w:rsid w:val="006F5507"/>
    <w:rsid w:val="006F5770"/>
    <w:rsid w:val="006F6656"/>
    <w:rsid w:val="00701733"/>
    <w:rsid w:val="00713EC7"/>
    <w:rsid w:val="007145DA"/>
    <w:rsid w:val="007304EC"/>
    <w:rsid w:val="0073360B"/>
    <w:rsid w:val="0073390E"/>
    <w:rsid w:val="00733D59"/>
    <w:rsid w:val="00740F86"/>
    <w:rsid w:val="007650F1"/>
    <w:rsid w:val="00774DF5"/>
    <w:rsid w:val="00785ED0"/>
    <w:rsid w:val="007904D8"/>
    <w:rsid w:val="007A7F5A"/>
    <w:rsid w:val="007E7274"/>
    <w:rsid w:val="007E7B45"/>
    <w:rsid w:val="00800CA0"/>
    <w:rsid w:val="00801815"/>
    <w:rsid w:val="00802405"/>
    <w:rsid w:val="008041D1"/>
    <w:rsid w:val="00807C35"/>
    <w:rsid w:val="0081503D"/>
    <w:rsid w:val="00825B6A"/>
    <w:rsid w:val="00831BA0"/>
    <w:rsid w:val="00832616"/>
    <w:rsid w:val="00837E50"/>
    <w:rsid w:val="00886A6A"/>
    <w:rsid w:val="008A57B6"/>
    <w:rsid w:val="008B58CD"/>
    <w:rsid w:val="008C0358"/>
    <w:rsid w:val="008D4052"/>
    <w:rsid w:val="008F3910"/>
    <w:rsid w:val="00904E88"/>
    <w:rsid w:val="0093730F"/>
    <w:rsid w:val="009415A7"/>
    <w:rsid w:val="00942785"/>
    <w:rsid w:val="009478A5"/>
    <w:rsid w:val="00964AD3"/>
    <w:rsid w:val="00981649"/>
    <w:rsid w:val="00987A92"/>
    <w:rsid w:val="009978E9"/>
    <w:rsid w:val="009A13B4"/>
    <w:rsid w:val="009B05FF"/>
    <w:rsid w:val="009D15E7"/>
    <w:rsid w:val="009D37BC"/>
    <w:rsid w:val="009E2729"/>
    <w:rsid w:val="009E7690"/>
    <w:rsid w:val="00A11C8C"/>
    <w:rsid w:val="00A14790"/>
    <w:rsid w:val="00A166CC"/>
    <w:rsid w:val="00A22FCD"/>
    <w:rsid w:val="00A2332C"/>
    <w:rsid w:val="00A2517A"/>
    <w:rsid w:val="00A25E62"/>
    <w:rsid w:val="00A31041"/>
    <w:rsid w:val="00A36146"/>
    <w:rsid w:val="00A36B58"/>
    <w:rsid w:val="00A37CE8"/>
    <w:rsid w:val="00A406CF"/>
    <w:rsid w:val="00A42AD4"/>
    <w:rsid w:val="00A60021"/>
    <w:rsid w:val="00A615E9"/>
    <w:rsid w:val="00A700B1"/>
    <w:rsid w:val="00A96C5F"/>
    <w:rsid w:val="00AA0875"/>
    <w:rsid w:val="00AA6D9E"/>
    <w:rsid w:val="00AA6E9D"/>
    <w:rsid w:val="00AB0017"/>
    <w:rsid w:val="00AB1B8A"/>
    <w:rsid w:val="00AB3C0B"/>
    <w:rsid w:val="00AC1294"/>
    <w:rsid w:val="00AC482E"/>
    <w:rsid w:val="00AD0DD4"/>
    <w:rsid w:val="00AD7FC0"/>
    <w:rsid w:val="00AE1C27"/>
    <w:rsid w:val="00AE5440"/>
    <w:rsid w:val="00AF02B2"/>
    <w:rsid w:val="00AF4009"/>
    <w:rsid w:val="00AF5660"/>
    <w:rsid w:val="00AF7FFD"/>
    <w:rsid w:val="00B14363"/>
    <w:rsid w:val="00B15C9D"/>
    <w:rsid w:val="00B2394C"/>
    <w:rsid w:val="00B34C82"/>
    <w:rsid w:val="00B4303B"/>
    <w:rsid w:val="00B5000E"/>
    <w:rsid w:val="00B503C4"/>
    <w:rsid w:val="00B534D6"/>
    <w:rsid w:val="00B54B7A"/>
    <w:rsid w:val="00B57CAE"/>
    <w:rsid w:val="00B67513"/>
    <w:rsid w:val="00B75E84"/>
    <w:rsid w:val="00B822D3"/>
    <w:rsid w:val="00B84C86"/>
    <w:rsid w:val="00B928DA"/>
    <w:rsid w:val="00B977D0"/>
    <w:rsid w:val="00BA1593"/>
    <w:rsid w:val="00BB4DE6"/>
    <w:rsid w:val="00BB78F8"/>
    <w:rsid w:val="00BC17C2"/>
    <w:rsid w:val="00BD5520"/>
    <w:rsid w:val="00BD5AF9"/>
    <w:rsid w:val="00BE0822"/>
    <w:rsid w:val="00BE4E2C"/>
    <w:rsid w:val="00BE72DE"/>
    <w:rsid w:val="00C14F62"/>
    <w:rsid w:val="00C633CE"/>
    <w:rsid w:val="00C655AD"/>
    <w:rsid w:val="00C67B94"/>
    <w:rsid w:val="00C73FA1"/>
    <w:rsid w:val="00C93BC2"/>
    <w:rsid w:val="00CC63BC"/>
    <w:rsid w:val="00CD29D4"/>
    <w:rsid w:val="00CD2A55"/>
    <w:rsid w:val="00CD5464"/>
    <w:rsid w:val="00CD6386"/>
    <w:rsid w:val="00CE0006"/>
    <w:rsid w:val="00CE04C9"/>
    <w:rsid w:val="00CE1147"/>
    <w:rsid w:val="00CE24ED"/>
    <w:rsid w:val="00CE2BE3"/>
    <w:rsid w:val="00CE451F"/>
    <w:rsid w:val="00CF2A8F"/>
    <w:rsid w:val="00CF5AA4"/>
    <w:rsid w:val="00CF6785"/>
    <w:rsid w:val="00D12700"/>
    <w:rsid w:val="00D128B3"/>
    <w:rsid w:val="00D14BAC"/>
    <w:rsid w:val="00D21819"/>
    <w:rsid w:val="00D26F02"/>
    <w:rsid w:val="00D32B1E"/>
    <w:rsid w:val="00D33C58"/>
    <w:rsid w:val="00D35AE8"/>
    <w:rsid w:val="00D43081"/>
    <w:rsid w:val="00D50079"/>
    <w:rsid w:val="00D637FD"/>
    <w:rsid w:val="00D663DD"/>
    <w:rsid w:val="00D80929"/>
    <w:rsid w:val="00D97DA8"/>
    <w:rsid w:val="00DA0C54"/>
    <w:rsid w:val="00DA5FD9"/>
    <w:rsid w:val="00DC78B4"/>
    <w:rsid w:val="00DC7DF9"/>
    <w:rsid w:val="00DD0BBA"/>
    <w:rsid w:val="00DD5CF6"/>
    <w:rsid w:val="00DD6C36"/>
    <w:rsid w:val="00DE0888"/>
    <w:rsid w:val="00DE096B"/>
    <w:rsid w:val="00DE7AE3"/>
    <w:rsid w:val="00E10EB4"/>
    <w:rsid w:val="00E13C19"/>
    <w:rsid w:val="00E31AB5"/>
    <w:rsid w:val="00E34805"/>
    <w:rsid w:val="00E42B89"/>
    <w:rsid w:val="00E42E59"/>
    <w:rsid w:val="00E51E9F"/>
    <w:rsid w:val="00E52D8E"/>
    <w:rsid w:val="00E5693C"/>
    <w:rsid w:val="00E614B7"/>
    <w:rsid w:val="00E67408"/>
    <w:rsid w:val="00E76AB3"/>
    <w:rsid w:val="00E91ECD"/>
    <w:rsid w:val="00E9419A"/>
    <w:rsid w:val="00E9682F"/>
    <w:rsid w:val="00EA471C"/>
    <w:rsid w:val="00EA6887"/>
    <w:rsid w:val="00EA6978"/>
    <w:rsid w:val="00ED234E"/>
    <w:rsid w:val="00EE070F"/>
    <w:rsid w:val="00EE0F1E"/>
    <w:rsid w:val="00EE0F9C"/>
    <w:rsid w:val="00EE671D"/>
    <w:rsid w:val="00EE6AFF"/>
    <w:rsid w:val="00EF666B"/>
    <w:rsid w:val="00EF7709"/>
    <w:rsid w:val="00F007BA"/>
    <w:rsid w:val="00F01B2B"/>
    <w:rsid w:val="00F02197"/>
    <w:rsid w:val="00F15B27"/>
    <w:rsid w:val="00F16F26"/>
    <w:rsid w:val="00F27257"/>
    <w:rsid w:val="00F34C8C"/>
    <w:rsid w:val="00F55B59"/>
    <w:rsid w:val="00F60363"/>
    <w:rsid w:val="00F66888"/>
    <w:rsid w:val="00F70968"/>
    <w:rsid w:val="00F8632B"/>
    <w:rsid w:val="00FA7D64"/>
    <w:rsid w:val="00FB3929"/>
    <w:rsid w:val="00FB64CD"/>
    <w:rsid w:val="00FC23FE"/>
    <w:rsid w:val="00FE6E3A"/>
    <w:rsid w:val="00FF02C2"/>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5"/>
    <w:pPr>
      <w:spacing w:before="220" w:after="220"/>
    </w:pPr>
    <w:rPr>
      <w:rFonts w:asciiTheme="majorHAnsi" w:eastAsia="Times New Roman" w:hAnsiTheme="majorHAnsi" w:cs="Times New Roman"/>
      <w:sz w:val="19"/>
      <w:szCs w:val="24"/>
      <w:lang w:eastAsia="en-AU"/>
    </w:rPr>
  </w:style>
  <w:style w:type="paragraph" w:styleId="Heading1">
    <w:name w:val="heading 1"/>
    <w:next w:val="Normal"/>
    <w:link w:val="Heading1Char"/>
    <w:uiPriority w:val="9"/>
    <w:qFormat/>
    <w:rsid w:val="0021492A"/>
    <w:pPr>
      <w:keepNext/>
      <w:keepLines/>
      <w:spacing w:before="300" w:after="300"/>
      <w:outlineLvl w:val="0"/>
    </w:pPr>
    <w:rPr>
      <w:rFonts w:eastAsiaTheme="majorEastAsia" w:cstheme="minorHAnsi"/>
      <w:b/>
      <w:bCs/>
      <w:color w:val="1E8FBB"/>
      <w:sz w:val="40"/>
      <w:szCs w:val="28"/>
      <w:lang w:eastAsia="en-AU"/>
    </w:rPr>
  </w:style>
  <w:style w:type="paragraph" w:styleId="Heading2">
    <w:name w:val="heading 2"/>
    <w:basedOn w:val="Heading1"/>
    <w:next w:val="Normal"/>
    <w:link w:val="Heading2Char"/>
    <w:uiPriority w:val="9"/>
    <w:unhideWhenUsed/>
    <w:qFormat/>
    <w:rsid w:val="0021492A"/>
    <w:pPr>
      <w:spacing w:line="240" w:lineRule="auto"/>
      <w:outlineLvl w:val="1"/>
    </w:pPr>
    <w:rPr>
      <w:sz w:val="32"/>
      <w:szCs w:val="32"/>
    </w:rPr>
  </w:style>
  <w:style w:type="paragraph" w:styleId="Heading3">
    <w:name w:val="heading 3"/>
    <w:basedOn w:val="Heading1"/>
    <w:next w:val="Normal"/>
    <w:link w:val="Heading3Char"/>
    <w:qFormat/>
    <w:rsid w:val="0021492A"/>
    <w:pPr>
      <w:outlineLvl w:val="2"/>
    </w:pPr>
    <w:rPr>
      <w:rFonts w:ascii="Calibri" w:hAnsi="Calibri"/>
      <w:b w:val="0"/>
      <w:caps/>
      <w:color w:val="auto"/>
      <w:sz w:val="32"/>
      <w:szCs w:val="32"/>
    </w:rPr>
  </w:style>
  <w:style w:type="paragraph" w:styleId="Heading4">
    <w:name w:val="heading 4"/>
    <w:basedOn w:val="Heading3"/>
    <w:next w:val="Normal"/>
    <w:link w:val="Heading4Char"/>
    <w:uiPriority w:val="9"/>
    <w:unhideWhenUsed/>
    <w:qFormat/>
    <w:rsid w:val="0021492A"/>
    <w:pPr>
      <w:outlineLvl w:val="3"/>
    </w:pPr>
    <w:rPr>
      <w:b/>
      <w:caps w:val="0"/>
    </w:rPr>
  </w:style>
  <w:style w:type="paragraph" w:styleId="Heading5">
    <w:name w:val="heading 5"/>
    <w:next w:val="Normal"/>
    <w:link w:val="Heading5Char"/>
    <w:uiPriority w:val="9"/>
    <w:unhideWhenUsed/>
    <w:qFormat/>
    <w:rsid w:val="0021492A"/>
    <w:pPr>
      <w:keepNext/>
      <w:keepLines/>
      <w:spacing w:before="200"/>
      <w:outlineLvl w:val="4"/>
    </w:pPr>
    <w:rPr>
      <w:rFonts w:cstheme="minorHAnsi"/>
      <w:i/>
      <w:sz w:val="24"/>
      <w:szCs w:val="24"/>
    </w:rPr>
  </w:style>
  <w:style w:type="paragraph" w:styleId="Heading6">
    <w:name w:val="heading 6"/>
    <w:next w:val="Normal"/>
    <w:link w:val="Heading6Char"/>
    <w:uiPriority w:val="9"/>
    <w:unhideWhenUsed/>
    <w:qFormat/>
    <w:rsid w:val="0021492A"/>
    <w:pPr>
      <w:keepNext/>
      <w:keepLines/>
      <w:spacing w:before="200" w:after="0"/>
      <w:outlineLvl w:val="5"/>
    </w:pPr>
    <w:rPr>
      <w:rFonts w:eastAsiaTheme="majorEastAsia" w:cstheme="minorHAnsi"/>
      <w:i/>
      <w:iCs/>
      <w:color w:val="000000" w:themeColor="text1"/>
      <w:sz w:val="21"/>
      <w:szCs w:val="24"/>
      <w:lang w:eastAsia="en-AU"/>
    </w:rPr>
  </w:style>
  <w:style w:type="paragraph" w:styleId="Heading7">
    <w:name w:val="heading 7"/>
    <w:basedOn w:val="Heading6"/>
    <w:next w:val="Normal"/>
    <w:link w:val="Heading7Char"/>
    <w:uiPriority w:val="9"/>
    <w:unhideWhenUsed/>
    <w:qFormat/>
    <w:rsid w:val="006049BA"/>
    <w:pPr>
      <w:outlineLvl w:val="6"/>
    </w:pPr>
  </w:style>
  <w:style w:type="paragraph" w:styleId="Heading8">
    <w:name w:val="heading 8"/>
    <w:next w:val="Normal"/>
    <w:link w:val="Heading8Char"/>
    <w:uiPriority w:val="9"/>
    <w:unhideWhenUsed/>
    <w:qFormat/>
    <w:rsid w:val="006049BA"/>
    <w:pPr>
      <w:keepNext/>
      <w:keepLines/>
      <w:spacing w:before="200" w:after="0"/>
      <w:outlineLvl w:val="7"/>
    </w:pPr>
    <w:rPr>
      <w:rFonts w:eastAsiaTheme="majorEastAsia" w:cstheme="minorHAnsi"/>
      <w:b/>
      <w:color w:val="000000" w:themeColor="text1"/>
      <w:sz w:val="21"/>
      <w:szCs w:val="20"/>
      <w:lang w:eastAsia="en-AU"/>
    </w:rPr>
  </w:style>
  <w:style w:type="paragraph" w:styleId="Heading9">
    <w:name w:val="heading 9"/>
    <w:basedOn w:val="Heading8"/>
    <w:next w:val="Normal"/>
    <w:link w:val="Heading9Char"/>
    <w:uiPriority w:val="9"/>
    <w:unhideWhenUsed/>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92A"/>
    <w:pPr>
      <w:pBdr>
        <w:bottom w:val="single" w:sz="2" w:space="0" w:color="000000" w:themeColor="text1"/>
      </w:pBdr>
      <w:tabs>
        <w:tab w:val="right" w:pos="8220"/>
      </w:tabs>
      <w:spacing w:before="240" w:after="60" w:line="240" w:lineRule="auto"/>
      <w:contextualSpacing/>
    </w:pPr>
    <w:rPr>
      <w:rFonts w:asciiTheme="minorHAnsi" w:eastAsiaTheme="majorEastAsia" w:hAnsiTheme="minorHAnsi" w:cstheme="minorHAnsi"/>
      <w:b/>
      <w:caps/>
      <w:kern w:val="32"/>
      <w:sz w:val="40"/>
      <w:szCs w:val="40"/>
    </w:rPr>
  </w:style>
  <w:style w:type="character" w:customStyle="1" w:styleId="TitleChar">
    <w:name w:val="Title Char"/>
    <w:basedOn w:val="DefaultParagraphFont"/>
    <w:link w:val="Title"/>
    <w:uiPriority w:val="10"/>
    <w:rsid w:val="0021492A"/>
    <w:rPr>
      <w:rFonts w:eastAsiaTheme="majorEastAsia" w:cstheme="minorHAnsi"/>
      <w:b/>
      <w:caps/>
      <w:kern w:val="32"/>
      <w:sz w:val="40"/>
      <w:szCs w:val="40"/>
      <w:lang w:eastAsia="en-AU"/>
    </w:rPr>
  </w:style>
  <w:style w:type="paragraph" w:customStyle="1" w:styleId="BulletSpacing">
    <w:name w:val="Bullet Spacing"/>
    <w:basedOn w:val="ListParagraph"/>
    <w:rsid w:val="001674AE"/>
  </w:style>
  <w:style w:type="paragraph" w:customStyle="1" w:styleId="NumberedSpacing">
    <w:name w:val="Numbered Spacing"/>
    <w:basedOn w:val="Normal"/>
    <w:rsid w:val="001674AE"/>
    <w:pPr>
      <w:numPr>
        <w:numId w:val="10"/>
      </w:numPr>
      <w:tabs>
        <w:tab w:val="left" w:pos="567"/>
      </w:tabs>
      <w:spacing w:before="0" w:after="120" w:line="288" w:lineRule="auto"/>
    </w:pPr>
    <w:rPr>
      <w:szCs w:val="21"/>
      <w:lang w:eastAsia="en-US"/>
    </w:rPr>
  </w:style>
  <w:style w:type="character" w:customStyle="1" w:styleId="Heading3Char">
    <w:name w:val="Heading 3 Char"/>
    <w:basedOn w:val="DefaultParagraphFont"/>
    <w:link w:val="Heading3"/>
    <w:rsid w:val="0021492A"/>
    <w:rPr>
      <w:rFonts w:ascii="Calibri" w:eastAsiaTheme="majorEastAsia" w:hAnsi="Calibri" w:cstheme="minorHAnsi"/>
      <w:bCs/>
      <w:caps/>
      <w:sz w:val="32"/>
      <w:szCs w:val="32"/>
      <w:lang w:eastAsia="en-AU"/>
    </w:rPr>
  </w:style>
  <w:style w:type="numbering" w:styleId="1ai">
    <w:name w:val="Outline List 1"/>
    <w:basedOn w:val="NoList"/>
    <w:rsid w:val="004D76FE"/>
    <w:pPr>
      <w:numPr>
        <w:numId w:val="1"/>
      </w:numPr>
    </w:pPr>
  </w:style>
  <w:style w:type="character" w:styleId="Hyperlink">
    <w:name w:val="Hyperlink"/>
    <w:uiPriority w:val="99"/>
    <w:rsid w:val="00A22FCD"/>
    <w:rPr>
      <w:color w:val="auto"/>
      <w:u w:val="single"/>
    </w:rPr>
  </w:style>
  <w:style w:type="paragraph" w:styleId="BalloonText">
    <w:name w:val="Balloon Text"/>
    <w:basedOn w:val="Normal"/>
    <w:link w:val="BalloonTextChar"/>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semiHidden/>
    <w:rsid w:val="004D76FE"/>
    <w:rPr>
      <w:rFonts w:ascii="Tahoma" w:eastAsia="Times New Roman" w:hAnsi="Tahoma" w:cs="Tahoma"/>
      <w:sz w:val="16"/>
      <w:szCs w:val="16"/>
    </w:rPr>
  </w:style>
  <w:style w:type="paragraph" w:styleId="FootnoteText">
    <w:name w:val="footnote text"/>
    <w:basedOn w:val="Normal"/>
    <w:link w:val="FootnoteTextChar"/>
    <w:uiPriority w:val="99"/>
    <w:semiHidden/>
    <w:rsid w:val="003E3725"/>
    <w:rPr>
      <w:color w:val="404040" w:themeColor="text1" w:themeTint="BF"/>
      <w:sz w:val="14"/>
      <w:szCs w:val="14"/>
    </w:rPr>
  </w:style>
  <w:style w:type="character" w:customStyle="1" w:styleId="FootnoteTextChar">
    <w:name w:val="Footnote Text Char"/>
    <w:basedOn w:val="DefaultParagraphFont"/>
    <w:link w:val="FootnoteText"/>
    <w:uiPriority w:val="99"/>
    <w:rsid w:val="003E3725"/>
    <w:rPr>
      <w:rFonts w:asciiTheme="majorHAnsi" w:eastAsia="Times New Roman" w:hAnsiTheme="majorHAnsi" w:cs="Times New Roman"/>
      <w:color w:val="404040" w:themeColor="text1" w:themeTint="BF"/>
      <w:sz w:val="14"/>
      <w:szCs w:val="14"/>
      <w:lang w:eastAsia="en-AU"/>
    </w:rPr>
  </w:style>
  <w:style w:type="character" w:styleId="FootnoteReference">
    <w:name w:val="footnote reference"/>
    <w:uiPriority w:val="99"/>
    <w:semiHidden/>
    <w:rsid w:val="004D76FE"/>
    <w:rPr>
      <w:vertAlign w:val="superscript"/>
    </w:rPr>
  </w:style>
  <w:style w:type="paragraph" w:styleId="Footer">
    <w:name w:val="footer"/>
    <w:basedOn w:val="Normal"/>
    <w:link w:val="FooterChar"/>
    <w:uiPriority w:val="99"/>
    <w:rsid w:val="003A006B"/>
    <w:pPr>
      <w:tabs>
        <w:tab w:val="center" w:pos="4153"/>
        <w:tab w:val="right" w:pos="8306"/>
      </w:tabs>
      <w:jc w:val="right"/>
    </w:pPr>
    <w:rPr>
      <w:rFonts w:asciiTheme="minorHAnsi" w:eastAsiaTheme="majorEastAsia" w:hAnsiTheme="minorHAnsi" w:cstheme="minorHAnsi"/>
      <w:sz w:val="16"/>
      <w:szCs w:val="16"/>
    </w:rPr>
  </w:style>
  <w:style w:type="character" w:customStyle="1" w:styleId="FooterChar">
    <w:name w:val="Footer Char"/>
    <w:basedOn w:val="DefaultParagraphFont"/>
    <w:link w:val="Footer"/>
    <w:uiPriority w:val="99"/>
    <w:rsid w:val="003A006B"/>
    <w:rPr>
      <w:rFonts w:eastAsiaTheme="majorEastAsia" w:cstheme="minorHAnsi"/>
      <w:sz w:val="16"/>
      <w:szCs w:val="16"/>
      <w:lang w:eastAsia="en-AU"/>
    </w:rPr>
  </w:style>
  <w:style w:type="character" w:styleId="PageNumber">
    <w:name w:val="page number"/>
    <w:basedOn w:val="DefaultParagraphFont"/>
    <w:rsid w:val="003A006B"/>
  </w:style>
  <w:style w:type="character" w:customStyle="1" w:styleId="Heading1Char">
    <w:name w:val="Heading 1 Char"/>
    <w:basedOn w:val="DefaultParagraphFont"/>
    <w:link w:val="Heading1"/>
    <w:uiPriority w:val="9"/>
    <w:rsid w:val="0021492A"/>
    <w:rPr>
      <w:rFonts w:eastAsiaTheme="majorEastAsia" w:cstheme="minorHAnsi"/>
      <w:b/>
      <w:bCs/>
      <w:color w:val="1E8FBB"/>
      <w:sz w:val="40"/>
      <w:szCs w:val="28"/>
      <w:lang w:eastAsia="en-AU"/>
    </w:rPr>
  </w:style>
  <w:style w:type="character" w:customStyle="1" w:styleId="Heading2Char">
    <w:name w:val="Heading 2 Char"/>
    <w:basedOn w:val="DefaultParagraphFont"/>
    <w:link w:val="Heading2"/>
    <w:uiPriority w:val="9"/>
    <w:rsid w:val="0021492A"/>
    <w:rPr>
      <w:rFonts w:eastAsiaTheme="majorEastAsia" w:cstheme="minorHAnsi"/>
      <w:b/>
      <w:bCs/>
      <w:color w:val="1E8FBB"/>
      <w:sz w:val="32"/>
      <w:szCs w:val="32"/>
      <w:lang w:eastAsia="en-AU"/>
    </w:rPr>
  </w:style>
  <w:style w:type="character" w:customStyle="1" w:styleId="Heading4Char">
    <w:name w:val="Heading 4 Char"/>
    <w:basedOn w:val="DefaultParagraphFont"/>
    <w:link w:val="Heading4"/>
    <w:uiPriority w:val="9"/>
    <w:rsid w:val="0021492A"/>
    <w:rPr>
      <w:rFonts w:ascii="Calibri" w:eastAsiaTheme="majorEastAsia" w:hAnsi="Calibri" w:cstheme="minorHAnsi"/>
      <w:b/>
      <w:bCs/>
      <w:sz w:val="32"/>
      <w:szCs w:val="32"/>
      <w:lang w:eastAsia="en-AU"/>
    </w:rPr>
  </w:style>
  <w:style w:type="paragraph" w:styleId="Quote">
    <w:name w:val="Quote"/>
    <w:basedOn w:val="Normal"/>
    <w:next w:val="Normal"/>
    <w:link w:val="QuoteChar"/>
    <w:uiPriority w:val="29"/>
    <w:qFormat/>
    <w:rsid w:val="0028789C"/>
    <w:pPr>
      <w:spacing w:before="180" w:after="180"/>
      <w:ind w:left="426"/>
    </w:pPr>
    <w:rPr>
      <w:i/>
      <w:iCs/>
      <w:color w:val="000000" w:themeColor="text1"/>
    </w:rPr>
  </w:style>
  <w:style w:type="character" w:customStyle="1" w:styleId="QuoteChar">
    <w:name w:val="Quote Char"/>
    <w:basedOn w:val="DefaultParagraphFont"/>
    <w:link w:val="Quote"/>
    <w:uiPriority w:val="29"/>
    <w:rsid w:val="0028789C"/>
    <w:rPr>
      <w:rFonts w:ascii="Minion Pro" w:eastAsia="Times New Roman" w:hAnsi="Minion Pro" w:cs="Times New Roman"/>
      <w:i/>
      <w:iCs/>
      <w:color w:val="000000" w:themeColor="text1"/>
      <w:sz w:val="21"/>
      <w:szCs w:val="24"/>
      <w:lang w:eastAsia="en-AU"/>
    </w:rPr>
  </w:style>
  <w:style w:type="paragraph" w:styleId="TOCHeading">
    <w:name w:val="TOC Heading"/>
    <w:basedOn w:val="Heading1"/>
    <w:next w:val="Normal"/>
    <w:uiPriority w:val="39"/>
    <w:unhideWhenUsed/>
    <w:qFormat/>
    <w:rsid w:val="00A36146"/>
    <w:pPr>
      <w:spacing w:before="480" w:after="0"/>
      <w:outlineLvl w:val="9"/>
    </w:pPr>
    <w:rPr>
      <w:lang w:val="en-US" w:eastAsia="ja-JP"/>
    </w:rPr>
  </w:style>
  <w:style w:type="paragraph" w:styleId="TOC3">
    <w:name w:val="toc 3"/>
    <w:basedOn w:val="TOC2"/>
    <w:next w:val="Normal"/>
    <w:autoRedefine/>
    <w:uiPriority w:val="39"/>
    <w:unhideWhenUsed/>
    <w:qFormat/>
    <w:rsid w:val="00DA0C54"/>
    <w:pPr>
      <w:ind w:left="709"/>
    </w:pPr>
    <w:rPr>
      <w:i/>
    </w:rPr>
  </w:style>
  <w:style w:type="paragraph" w:styleId="TOC1">
    <w:name w:val="toc 1"/>
    <w:basedOn w:val="Normal"/>
    <w:next w:val="Normal"/>
    <w:autoRedefine/>
    <w:uiPriority w:val="39"/>
    <w:unhideWhenUsed/>
    <w:qFormat/>
    <w:rsid w:val="003A006B"/>
    <w:pPr>
      <w:tabs>
        <w:tab w:val="right" w:leader="dot" w:pos="8210"/>
      </w:tabs>
      <w:spacing w:after="100"/>
    </w:pPr>
    <w:rPr>
      <w:rFonts w:asciiTheme="minorHAnsi" w:hAnsiTheme="minorHAnsi" w:cstheme="minorHAnsi"/>
      <w:sz w:val="28"/>
    </w:rPr>
  </w:style>
  <w:style w:type="paragraph" w:styleId="TOC2">
    <w:name w:val="toc 2"/>
    <w:basedOn w:val="Normal"/>
    <w:next w:val="Normal"/>
    <w:autoRedefine/>
    <w:uiPriority w:val="39"/>
    <w:unhideWhenUsed/>
    <w:qFormat/>
    <w:rsid w:val="0021492A"/>
    <w:pPr>
      <w:tabs>
        <w:tab w:val="right" w:leader="dot" w:pos="8210"/>
      </w:tabs>
      <w:spacing w:after="100"/>
      <w:ind w:left="425"/>
    </w:pPr>
    <w:rPr>
      <w:rFonts w:cstheme="minorHAnsi"/>
      <w:noProof/>
      <w:sz w:val="24"/>
    </w:rPr>
  </w:style>
  <w:style w:type="paragraph" w:styleId="ListParagraph">
    <w:name w:val="List Paragraph"/>
    <w:basedOn w:val="Normal"/>
    <w:uiPriority w:val="34"/>
    <w:qFormat/>
    <w:rsid w:val="001674AE"/>
    <w:pPr>
      <w:numPr>
        <w:numId w:val="8"/>
      </w:numPr>
      <w:spacing w:after="240"/>
      <w:ind w:left="425" w:hanging="425"/>
    </w:pPr>
    <w:rPr>
      <w:rFonts w:eastAsiaTheme="minorHAnsi"/>
      <w:lang w:eastAsia="en-US"/>
    </w:rPr>
  </w:style>
  <w:style w:type="paragraph" w:styleId="ListBullet">
    <w:name w:val="List Bullet"/>
    <w:basedOn w:val="Normal"/>
    <w:uiPriority w:val="99"/>
    <w:unhideWhenUsed/>
    <w:rsid w:val="0028789C"/>
    <w:pPr>
      <w:numPr>
        <w:numId w:val="7"/>
      </w:numPr>
      <w:spacing w:after="120"/>
      <w:ind w:left="426" w:hanging="426"/>
      <w:contextualSpacing/>
    </w:pPr>
  </w:style>
  <w:style w:type="paragraph" w:styleId="ListBullet2">
    <w:name w:val="List Bullet 2"/>
    <w:basedOn w:val="Normal"/>
    <w:uiPriority w:val="99"/>
    <w:unhideWhenUsed/>
    <w:rsid w:val="0028789C"/>
    <w:pPr>
      <w:numPr>
        <w:numId w:val="2"/>
      </w:numPr>
      <w:tabs>
        <w:tab w:val="clear" w:pos="643"/>
        <w:tab w:val="num" w:pos="1985"/>
      </w:tabs>
      <w:spacing w:before="120" w:after="120"/>
      <w:ind w:left="851" w:hanging="425"/>
      <w:contextualSpacing/>
    </w:pPr>
  </w:style>
  <w:style w:type="paragraph" w:styleId="ListBullet3">
    <w:name w:val="List Bullet 3"/>
    <w:basedOn w:val="Normal"/>
    <w:uiPriority w:val="99"/>
    <w:unhideWhenUsed/>
    <w:rsid w:val="0028789C"/>
    <w:pPr>
      <w:numPr>
        <w:numId w:val="3"/>
      </w:numPr>
      <w:tabs>
        <w:tab w:val="clear" w:pos="926"/>
        <w:tab w:val="num" w:pos="1276"/>
      </w:tabs>
      <w:spacing w:before="120" w:after="120"/>
      <w:ind w:left="1276" w:hanging="425"/>
      <w:contextualSpacing/>
    </w:pPr>
  </w:style>
  <w:style w:type="paragraph" w:styleId="ListBullet4">
    <w:name w:val="List Bullet 4"/>
    <w:basedOn w:val="Normal"/>
    <w:uiPriority w:val="99"/>
    <w:unhideWhenUsed/>
    <w:rsid w:val="0028789C"/>
    <w:pPr>
      <w:numPr>
        <w:numId w:val="4"/>
      </w:numPr>
      <w:tabs>
        <w:tab w:val="left" w:pos="1701"/>
      </w:tabs>
      <w:ind w:left="1701" w:hanging="425"/>
      <w:contextualSpacing/>
    </w:pPr>
  </w:style>
  <w:style w:type="paragraph" w:styleId="ListBullet5">
    <w:name w:val="List Bullet 5"/>
    <w:basedOn w:val="Normal"/>
    <w:uiPriority w:val="99"/>
    <w:unhideWhenUsed/>
    <w:rsid w:val="0028789C"/>
    <w:pPr>
      <w:numPr>
        <w:numId w:val="5"/>
      </w:numPr>
      <w:ind w:left="2127" w:hanging="426"/>
      <w:contextualSpacing/>
    </w:pPr>
  </w:style>
  <w:style w:type="paragraph" w:styleId="TOC4">
    <w:name w:val="toc 4"/>
    <w:basedOn w:val="TOC3"/>
    <w:next w:val="Normal"/>
    <w:autoRedefine/>
    <w:uiPriority w:val="39"/>
    <w:unhideWhenUsed/>
    <w:rsid w:val="00DA0C54"/>
  </w:style>
  <w:style w:type="paragraph" w:styleId="TOC5">
    <w:name w:val="toc 5"/>
    <w:basedOn w:val="TOC4"/>
    <w:next w:val="Normal"/>
    <w:autoRedefine/>
    <w:uiPriority w:val="39"/>
    <w:unhideWhenUsed/>
    <w:rsid w:val="00DA0C54"/>
    <w:rPr>
      <w:sz w:val="21"/>
    </w:rPr>
  </w:style>
  <w:style w:type="paragraph" w:styleId="TOC6">
    <w:name w:val="toc 6"/>
    <w:basedOn w:val="TOC5"/>
    <w:next w:val="Normal"/>
    <w:autoRedefine/>
    <w:uiPriority w:val="39"/>
    <w:unhideWhenUsed/>
    <w:rsid w:val="00DA0C54"/>
  </w:style>
  <w:style w:type="paragraph" w:styleId="TOC7">
    <w:name w:val="toc 7"/>
    <w:basedOn w:val="TOC6"/>
    <w:next w:val="Normal"/>
    <w:autoRedefine/>
    <w:uiPriority w:val="39"/>
    <w:unhideWhenUsed/>
    <w:rsid w:val="00DA0C54"/>
  </w:style>
  <w:style w:type="paragraph" w:styleId="TOC8">
    <w:name w:val="toc 8"/>
    <w:basedOn w:val="TOC7"/>
    <w:next w:val="Normal"/>
    <w:autoRedefine/>
    <w:uiPriority w:val="39"/>
    <w:unhideWhenUsed/>
    <w:rsid w:val="00DA0C54"/>
  </w:style>
  <w:style w:type="paragraph" w:styleId="TOC9">
    <w:name w:val="toc 9"/>
    <w:basedOn w:val="Normal"/>
    <w:next w:val="Normal"/>
    <w:autoRedefine/>
    <w:uiPriority w:val="39"/>
    <w:semiHidden/>
    <w:unhideWhenUsed/>
    <w:rsid w:val="00B75E84"/>
    <w:pPr>
      <w:spacing w:after="100"/>
      <w:ind w:left="1276"/>
    </w:pPr>
  </w:style>
  <w:style w:type="paragraph" w:styleId="ListContinue2">
    <w:name w:val="List Continue 2"/>
    <w:basedOn w:val="Normal"/>
    <w:uiPriority w:val="99"/>
    <w:unhideWhenUsed/>
    <w:rsid w:val="00BE72DE"/>
    <w:pPr>
      <w:spacing w:after="120"/>
      <w:ind w:left="426"/>
      <w:contextualSpacing/>
    </w:pPr>
  </w:style>
  <w:style w:type="paragraph" w:styleId="NormalWeb">
    <w:name w:val="Normal (Web)"/>
    <w:basedOn w:val="Normal"/>
    <w:uiPriority w:val="99"/>
    <w:unhideWhenUsed/>
    <w:rsid w:val="00E67408"/>
  </w:style>
  <w:style w:type="character" w:styleId="Emphasis">
    <w:name w:val="Emphasis"/>
    <w:basedOn w:val="DefaultParagraphFont"/>
    <w:uiPriority w:val="20"/>
    <w:qFormat/>
    <w:rsid w:val="00377839"/>
    <w:rPr>
      <w:i/>
      <w:iCs/>
    </w:rPr>
  </w:style>
  <w:style w:type="character" w:styleId="IntenseEmphasis">
    <w:name w:val="Intense Emphasis"/>
    <w:basedOn w:val="DefaultParagraphFont"/>
    <w:uiPriority w:val="21"/>
    <w:qFormat/>
    <w:rsid w:val="00CE451F"/>
    <w:rPr>
      <w:b/>
      <w:bCs/>
      <w:i/>
      <w:iCs/>
      <w:color w:val="000000" w:themeColor="text1"/>
    </w:rPr>
  </w:style>
  <w:style w:type="paragraph" w:styleId="IntenseQuote">
    <w:name w:val="Intense Quote"/>
    <w:basedOn w:val="Normal"/>
    <w:next w:val="Normal"/>
    <w:link w:val="IntenseQuoteChar"/>
    <w:uiPriority w:val="30"/>
    <w:qFormat/>
    <w:rsid w:val="0021492A"/>
    <w:pPr>
      <w:pBdr>
        <w:bottom w:val="single" w:sz="4" w:space="10" w:color="7F7F7F" w:themeColor="text1" w:themeTint="80"/>
      </w:pBdr>
      <w:spacing w:before="200" w:after="280"/>
      <w:ind w:left="426" w:right="567"/>
    </w:pPr>
    <w:rPr>
      <w:rFonts w:cstheme="minorHAnsi"/>
      <w:bCs/>
      <w:i/>
      <w:iCs/>
      <w:color w:val="000000" w:themeColor="text1"/>
      <w:sz w:val="28"/>
    </w:rPr>
  </w:style>
  <w:style w:type="character" w:customStyle="1" w:styleId="IntenseQuoteChar">
    <w:name w:val="Intense Quote Char"/>
    <w:basedOn w:val="DefaultParagraphFont"/>
    <w:link w:val="IntenseQuote"/>
    <w:uiPriority w:val="30"/>
    <w:rsid w:val="0021492A"/>
    <w:rPr>
      <w:rFonts w:eastAsia="Times New Roman" w:cstheme="minorHAnsi"/>
      <w:bCs/>
      <w:i/>
      <w:iCs/>
      <w:color w:val="000000" w:themeColor="text1"/>
      <w:sz w:val="28"/>
      <w:szCs w:val="24"/>
      <w:lang w:eastAsia="en-AU"/>
    </w:rPr>
  </w:style>
  <w:style w:type="character" w:styleId="Strong">
    <w:name w:val="Strong"/>
    <w:basedOn w:val="DefaultParagraphFont"/>
    <w:uiPriority w:val="22"/>
    <w:qFormat/>
    <w:rsid w:val="00CE451F"/>
    <w:rPr>
      <w:b/>
      <w:bCs/>
    </w:rPr>
  </w:style>
  <w:style w:type="paragraph" w:styleId="Subtitle">
    <w:name w:val="Subtitle"/>
    <w:basedOn w:val="Normal"/>
    <w:next w:val="Normal"/>
    <w:link w:val="SubtitleChar"/>
    <w:uiPriority w:val="11"/>
    <w:qFormat/>
    <w:rsid w:val="0021492A"/>
    <w:pPr>
      <w:numPr>
        <w:ilvl w:val="1"/>
      </w:numPr>
    </w:pPr>
    <w:rPr>
      <w:rFonts w:asciiTheme="minorHAnsi" w:eastAsiaTheme="majorEastAsia" w:hAnsiTheme="minorHAnsi" w:cstheme="minorHAnsi"/>
      <w:iCs/>
      <w:smallCaps/>
      <w:spacing w:val="15"/>
      <w:sz w:val="28"/>
    </w:rPr>
  </w:style>
  <w:style w:type="character" w:customStyle="1" w:styleId="SubtitleChar">
    <w:name w:val="Subtitle Char"/>
    <w:basedOn w:val="DefaultParagraphFont"/>
    <w:link w:val="Subtitle"/>
    <w:uiPriority w:val="11"/>
    <w:rsid w:val="0021492A"/>
    <w:rPr>
      <w:rFonts w:eastAsiaTheme="majorEastAsia" w:cstheme="minorHAnsi"/>
      <w:iCs/>
      <w:smallCaps/>
      <w:spacing w:val="15"/>
      <w:sz w:val="28"/>
      <w:szCs w:val="24"/>
      <w:lang w:eastAsia="en-AU"/>
    </w:rPr>
  </w:style>
  <w:style w:type="paragraph" w:customStyle="1" w:styleId="Recommendation">
    <w:name w:val="Recommendation"/>
    <w:qFormat/>
    <w:rsid w:val="006049BA"/>
    <w:pPr>
      <w:pBdr>
        <w:bottom w:val="single" w:sz="4" w:space="10" w:color="808080" w:themeColor="background1" w:themeShade="80"/>
      </w:pBdr>
      <w:autoSpaceDE w:val="0"/>
      <w:autoSpaceDN w:val="0"/>
      <w:adjustRightInd w:val="0"/>
      <w:spacing w:after="360"/>
    </w:pPr>
    <w:rPr>
      <w:rFonts w:cs="ArialNarrow"/>
    </w:rPr>
  </w:style>
  <w:style w:type="paragraph" w:customStyle="1" w:styleId="Recomendationheading">
    <w:name w:val="Recomendation heading"/>
    <w:basedOn w:val="Recommendation"/>
    <w:next w:val="Recommendation"/>
    <w:qFormat/>
    <w:rsid w:val="0021492A"/>
    <w:pPr>
      <w:keepNext/>
      <w:pBdr>
        <w:top w:val="single" w:sz="4" w:space="10" w:color="808080" w:themeColor="background1" w:themeShade="80"/>
        <w:bottom w:val="none" w:sz="0" w:space="0" w:color="auto"/>
      </w:pBdr>
      <w:spacing w:after="120"/>
    </w:pPr>
    <w:rPr>
      <w:rFonts w:cstheme="minorHAnsi"/>
      <w:caps/>
      <w:sz w:val="28"/>
    </w:rPr>
  </w:style>
  <w:style w:type="character" w:styleId="EndnoteReference">
    <w:name w:val="endnote reference"/>
    <w:basedOn w:val="DefaultParagraphFont"/>
    <w:uiPriority w:val="99"/>
    <w:unhideWhenUsed/>
    <w:rsid w:val="00377839"/>
    <w:rPr>
      <w:vertAlign w:val="superscript"/>
    </w:rPr>
  </w:style>
  <w:style w:type="character" w:styleId="SubtleReference">
    <w:name w:val="Subtle Reference"/>
    <w:basedOn w:val="DefaultParagraphFont"/>
    <w:uiPriority w:val="31"/>
    <w:qFormat/>
    <w:rsid w:val="005F1AF0"/>
    <w:rPr>
      <w:smallCaps/>
      <w:color w:val="000000" w:themeColor="text1"/>
      <w:u w:val="single"/>
    </w:rPr>
  </w:style>
  <w:style w:type="character" w:styleId="IntenseReference">
    <w:name w:val="Intense Reference"/>
    <w:basedOn w:val="DefaultParagraphFont"/>
    <w:uiPriority w:val="32"/>
    <w:qFormat/>
    <w:rsid w:val="005F1AF0"/>
    <w:rPr>
      <w:b/>
      <w:bCs/>
      <w:smallCaps/>
      <w:color w:val="auto"/>
      <w:spacing w:val="5"/>
      <w:u w:val="single"/>
    </w:rPr>
  </w:style>
  <w:style w:type="paragraph" w:styleId="Header">
    <w:name w:val="header"/>
    <w:basedOn w:val="Normal"/>
    <w:link w:val="HeaderChar"/>
    <w:uiPriority w:val="99"/>
    <w:unhideWhenUsed/>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1AF0"/>
    <w:rPr>
      <w:rFonts w:ascii="Minion Pro" w:eastAsia="Times New Roman" w:hAnsi="Minion Pro" w:cs="Times New Roman"/>
      <w:sz w:val="24"/>
      <w:szCs w:val="24"/>
      <w:lang w:eastAsia="en-AU"/>
    </w:rPr>
  </w:style>
  <w:style w:type="character" w:customStyle="1" w:styleId="Heading5Char">
    <w:name w:val="Heading 5 Char"/>
    <w:basedOn w:val="DefaultParagraphFont"/>
    <w:link w:val="Heading5"/>
    <w:uiPriority w:val="9"/>
    <w:rsid w:val="0021492A"/>
    <w:rPr>
      <w:rFonts w:cstheme="minorHAnsi"/>
      <w:i/>
      <w:sz w:val="24"/>
      <w:szCs w:val="24"/>
    </w:rPr>
  </w:style>
  <w:style w:type="character" w:customStyle="1" w:styleId="Heading6Char">
    <w:name w:val="Heading 6 Char"/>
    <w:basedOn w:val="DefaultParagraphFont"/>
    <w:link w:val="Heading6"/>
    <w:uiPriority w:val="9"/>
    <w:rsid w:val="0021492A"/>
    <w:rPr>
      <w:rFonts w:eastAsiaTheme="majorEastAsia" w:cstheme="minorHAnsi"/>
      <w:i/>
      <w:iCs/>
      <w:color w:val="000000" w:themeColor="text1"/>
      <w:sz w:val="21"/>
      <w:szCs w:val="24"/>
      <w:lang w:eastAsia="en-AU"/>
    </w:rPr>
  </w:style>
  <w:style w:type="character" w:customStyle="1" w:styleId="Heading7Char">
    <w:name w:val="Heading 7 Char"/>
    <w:basedOn w:val="DefaultParagraphFont"/>
    <w:link w:val="Heading7"/>
    <w:uiPriority w:val="9"/>
    <w:rsid w:val="006049BA"/>
    <w:rPr>
      <w:rFonts w:eastAsiaTheme="majorEastAsia" w:cstheme="minorHAnsi"/>
      <w:i/>
      <w:iCs/>
      <w:color w:val="000000" w:themeColor="text1"/>
      <w:sz w:val="21"/>
      <w:szCs w:val="24"/>
      <w:lang w:eastAsia="en-AU"/>
    </w:rPr>
  </w:style>
  <w:style w:type="character" w:customStyle="1" w:styleId="Heading8Char">
    <w:name w:val="Heading 8 Char"/>
    <w:basedOn w:val="DefaultParagraphFont"/>
    <w:link w:val="Heading8"/>
    <w:uiPriority w:val="9"/>
    <w:rsid w:val="006049BA"/>
    <w:rPr>
      <w:rFonts w:eastAsiaTheme="majorEastAsia" w:cstheme="minorHAnsi"/>
      <w:b/>
      <w:color w:val="000000" w:themeColor="text1"/>
      <w:sz w:val="21"/>
      <w:szCs w:val="20"/>
      <w:lang w:eastAsia="en-AU"/>
    </w:rPr>
  </w:style>
  <w:style w:type="character" w:customStyle="1" w:styleId="Heading9Char">
    <w:name w:val="Heading 9 Char"/>
    <w:basedOn w:val="DefaultParagraphFont"/>
    <w:link w:val="Heading9"/>
    <w:uiPriority w:val="9"/>
    <w:rsid w:val="006049BA"/>
    <w:rPr>
      <w:rFonts w:eastAsiaTheme="majorEastAsia" w:cstheme="minorHAnsi"/>
      <w:b/>
      <w:color w:val="000000" w:themeColor="text1"/>
      <w:sz w:val="21"/>
      <w:szCs w:val="20"/>
      <w:lang w:eastAsia="en-AU"/>
    </w:rPr>
  </w:style>
  <w:style w:type="paragraph" w:styleId="PlainText">
    <w:name w:val="Plain Text"/>
    <w:basedOn w:val="Normal"/>
    <w:link w:val="PlainTextChar"/>
    <w:uiPriority w:val="99"/>
    <w:semiHidden/>
    <w:unhideWhenUsed/>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rsid w:val="00A22FCD"/>
    <w:rPr>
      <w:rFonts w:ascii="Minion Pro" w:eastAsia="Times New Roman" w:hAnsi="Minion Pro" w:cs="Consolas"/>
      <w:sz w:val="24"/>
      <w:szCs w:val="21"/>
      <w:lang w:eastAsia="en-AU"/>
    </w:rPr>
  </w:style>
  <w:style w:type="paragraph" w:styleId="BlockText">
    <w:name w:val="Block Text"/>
    <w:basedOn w:val="Normal"/>
    <w:uiPriority w:val="99"/>
    <w:unhideWhenUsed/>
    <w:rsid w:val="00F60363"/>
    <w:pPr>
      <w:pBdr>
        <w:top w:val="single" w:sz="2" w:space="12" w:color="808080" w:themeColor="background1" w:themeShade="80"/>
        <w:bottom w:val="single" w:sz="2" w:space="12" w:color="808080" w:themeColor="background1" w:themeShade="80"/>
      </w:pBdr>
    </w:pPr>
    <w:rPr>
      <w:rFonts w:eastAsiaTheme="minorEastAsia" w:cstheme="minorBidi"/>
      <w:i/>
      <w:iCs/>
    </w:rPr>
  </w:style>
  <w:style w:type="paragraph" w:styleId="ListNumber">
    <w:name w:val="List Number"/>
    <w:basedOn w:val="Normal"/>
    <w:uiPriority w:val="99"/>
    <w:semiHidden/>
    <w:unhideWhenUsed/>
    <w:rsid w:val="0039436C"/>
    <w:pPr>
      <w:numPr>
        <w:numId w:val="6"/>
      </w:numPr>
      <w:ind w:left="357" w:hanging="357"/>
      <w:contextualSpacing/>
    </w:pPr>
  </w:style>
  <w:style w:type="character" w:styleId="BookTitle">
    <w:name w:val="Book Title"/>
    <w:basedOn w:val="DefaultParagraphFont"/>
    <w:uiPriority w:val="33"/>
    <w:qFormat/>
    <w:rsid w:val="003A006B"/>
    <w:rPr>
      <w:rFonts w:asciiTheme="minorHAnsi" w:hAnsiTheme="minorHAnsi" w:cstheme="minorHAnsi"/>
      <w:b/>
      <w:bCs/>
      <w:caps/>
      <w:spacing w:val="5"/>
      <w:sz w:val="21"/>
      <w:szCs w:val="21"/>
    </w:rPr>
  </w:style>
  <w:style w:type="character" w:styleId="PlaceholderText">
    <w:name w:val="Placeholder Text"/>
    <w:basedOn w:val="DefaultParagraphFont"/>
    <w:uiPriority w:val="99"/>
    <w:semiHidden/>
    <w:rsid w:val="000A5CA6"/>
    <w:rPr>
      <w:color w:val="808080"/>
    </w:rPr>
  </w:style>
  <w:style w:type="numbering" w:customStyle="1" w:styleId="Style1">
    <w:name w:val="Style1"/>
    <w:uiPriority w:val="99"/>
    <w:rsid w:val="0031406E"/>
    <w:pPr>
      <w:numPr>
        <w:numId w:val="9"/>
      </w:numPr>
    </w:pPr>
  </w:style>
  <w:style w:type="paragraph" w:styleId="TOAHeading">
    <w:name w:val="toa heading"/>
    <w:basedOn w:val="TOCHeading"/>
    <w:next w:val="Normal"/>
    <w:uiPriority w:val="99"/>
    <w:unhideWhenUsed/>
    <w:rsid w:val="00DA0C54"/>
  </w:style>
  <w:style w:type="character" w:styleId="FollowedHyperlink">
    <w:name w:val="FollowedHyperlink"/>
    <w:uiPriority w:val="99"/>
    <w:unhideWhenUsed/>
    <w:rsid w:val="00D43081"/>
    <w:rPr>
      <w:u w:val="single"/>
    </w:rPr>
  </w:style>
  <w:style w:type="character" w:styleId="CommentReference">
    <w:name w:val="annotation reference"/>
    <w:basedOn w:val="DefaultParagraphFont"/>
    <w:uiPriority w:val="99"/>
    <w:semiHidden/>
    <w:unhideWhenUsed/>
    <w:rsid w:val="008A57B6"/>
    <w:rPr>
      <w:sz w:val="16"/>
      <w:szCs w:val="16"/>
    </w:rPr>
  </w:style>
  <w:style w:type="paragraph" w:styleId="CommentText">
    <w:name w:val="annotation text"/>
    <w:basedOn w:val="Normal"/>
    <w:link w:val="CommentTextChar"/>
    <w:uiPriority w:val="99"/>
    <w:semiHidden/>
    <w:unhideWhenUsed/>
    <w:rsid w:val="008A57B6"/>
    <w:pPr>
      <w:spacing w:line="240" w:lineRule="auto"/>
    </w:pPr>
    <w:rPr>
      <w:sz w:val="20"/>
      <w:szCs w:val="20"/>
    </w:rPr>
  </w:style>
  <w:style w:type="character" w:customStyle="1" w:styleId="CommentTextChar">
    <w:name w:val="Comment Text Char"/>
    <w:basedOn w:val="DefaultParagraphFont"/>
    <w:link w:val="CommentText"/>
    <w:uiPriority w:val="99"/>
    <w:semiHidden/>
    <w:rsid w:val="008A57B6"/>
    <w:rPr>
      <w:rFonts w:asciiTheme="majorHAnsi" w:eastAsia="Times New Roman" w:hAnsiTheme="majorHAns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57B6"/>
    <w:rPr>
      <w:b/>
      <w:bCs/>
    </w:rPr>
  </w:style>
  <w:style w:type="character" w:customStyle="1" w:styleId="CommentSubjectChar">
    <w:name w:val="Comment Subject Char"/>
    <w:basedOn w:val="CommentTextChar"/>
    <w:link w:val="CommentSubject"/>
    <w:uiPriority w:val="99"/>
    <w:semiHidden/>
    <w:rsid w:val="008A57B6"/>
    <w:rPr>
      <w:b/>
      <w:bCs/>
    </w:rPr>
  </w:style>
  <w:style w:type="paragraph" w:customStyle="1" w:styleId="ADAHeading2">
    <w:name w:val="ADA Heading 2"/>
    <w:basedOn w:val="Normal"/>
    <w:qFormat/>
    <w:rsid w:val="00CE1147"/>
    <w:pPr>
      <w:keepNext/>
      <w:spacing w:before="0" w:after="240" w:line="240" w:lineRule="auto"/>
    </w:pPr>
    <w:rPr>
      <w:rFonts w:ascii="Arial Narrow" w:hAnsi="Arial Narrow"/>
      <w:b/>
      <w:sz w:val="25"/>
      <w:lang w:eastAsia="en-US"/>
    </w:rPr>
  </w:style>
  <w:style w:type="paragraph" w:styleId="HTMLPreformatted">
    <w:name w:val="HTML Preformatted"/>
    <w:basedOn w:val="Normal"/>
    <w:link w:val="HTMLPreformattedChar"/>
    <w:uiPriority w:val="99"/>
    <w:semiHidden/>
    <w:unhideWhenUsed/>
    <w:rsid w:val="0050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US" w:eastAsia="zh-CN" w:bidi="th-TH"/>
    </w:rPr>
  </w:style>
  <w:style w:type="character" w:customStyle="1" w:styleId="HTMLPreformattedChar">
    <w:name w:val="HTML Preformatted Char"/>
    <w:basedOn w:val="DefaultParagraphFont"/>
    <w:link w:val="HTMLPreformatted"/>
    <w:uiPriority w:val="99"/>
    <w:semiHidden/>
    <w:rsid w:val="00500FC7"/>
    <w:rPr>
      <w:rFonts w:ascii="Courier New" w:eastAsia="Times New Roman" w:hAnsi="Courier New" w:cs="Courier New"/>
      <w:sz w:val="20"/>
      <w:szCs w:val="20"/>
      <w:lang w:val="en-US" w:eastAsia="zh-CN" w:bidi="th-TH"/>
    </w:rPr>
  </w:style>
  <w:style w:type="paragraph" w:styleId="MessageHeader">
    <w:name w:val="Message Header"/>
    <w:basedOn w:val="Normal"/>
    <w:link w:val="MessageHeaderChar"/>
    <w:uiPriority w:val="99"/>
    <w:semiHidden/>
    <w:unhideWhenUsed/>
    <w:rsid w:val="00AB001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AB0017"/>
    <w:rPr>
      <w:rFonts w:asciiTheme="majorHAnsi" w:eastAsiaTheme="majorEastAsia" w:hAnsiTheme="majorHAnsi" w:cstheme="majorBidi"/>
      <w:sz w:val="24"/>
      <w:szCs w:val="24"/>
      <w:shd w:val="pct20" w:color="auto" w:fill="auto"/>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5"/>
    <w:pPr>
      <w:spacing w:before="220" w:after="220"/>
    </w:pPr>
    <w:rPr>
      <w:rFonts w:asciiTheme="majorHAnsi" w:eastAsia="Times New Roman" w:hAnsiTheme="majorHAnsi" w:cs="Times New Roman"/>
      <w:sz w:val="19"/>
      <w:szCs w:val="24"/>
      <w:lang w:eastAsia="en-AU"/>
    </w:rPr>
  </w:style>
  <w:style w:type="paragraph" w:styleId="Heading1">
    <w:name w:val="heading 1"/>
    <w:next w:val="Normal"/>
    <w:link w:val="Heading1Char"/>
    <w:uiPriority w:val="9"/>
    <w:qFormat/>
    <w:rsid w:val="0021492A"/>
    <w:pPr>
      <w:keepNext/>
      <w:keepLines/>
      <w:spacing w:before="300" w:after="300"/>
      <w:outlineLvl w:val="0"/>
    </w:pPr>
    <w:rPr>
      <w:rFonts w:eastAsiaTheme="majorEastAsia" w:cstheme="minorHAnsi"/>
      <w:b/>
      <w:bCs/>
      <w:color w:val="1E8FBB"/>
      <w:sz w:val="40"/>
      <w:szCs w:val="28"/>
      <w:lang w:eastAsia="en-AU"/>
    </w:rPr>
  </w:style>
  <w:style w:type="paragraph" w:styleId="Heading2">
    <w:name w:val="heading 2"/>
    <w:basedOn w:val="Heading1"/>
    <w:next w:val="Normal"/>
    <w:link w:val="Heading2Char"/>
    <w:uiPriority w:val="9"/>
    <w:unhideWhenUsed/>
    <w:qFormat/>
    <w:rsid w:val="0021492A"/>
    <w:pPr>
      <w:spacing w:line="240" w:lineRule="auto"/>
      <w:outlineLvl w:val="1"/>
    </w:pPr>
    <w:rPr>
      <w:sz w:val="32"/>
      <w:szCs w:val="32"/>
    </w:rPr>
  </w:style>
  <w:style w:type="paragraph" w:styleId="Heading3">
    <w:name w:val="heading 3"/>
    <w:basedOn w:val="Heading1"/>
    <w:next w:val="Normal"/>
    <w:link w:val="Heading3Char"/>
    <w:qFormat/>
    <w:rsid w:val="0021492A"/>
    <w:pPr>
      <w:outlineLvl w:val="2"/>
    </w:pPr>
    <w:rPr>
      <w:rFonts w:ascii="Calibri" w:hAnsi="Calibri"/>
      <w:b w:val="0"/>
      <w:caps/>
      <w:color w:val="auto"/>
      <w:sz w:val="32"/>
      <w:szCs w:val="32"/>
    </w:rPr>
  </w:style>
  <w:style w:type="paragraph" w:styleId="Heading4">
    <w:name w:val="heading 4"/>
    <w:basedOn w:val="Heading3"/>
    <w:next w:val="Normal"/>
    <w:link w:val="Heading4Char"/>
    <w:uiPriority w:val="9"/>
    <w:unhideWhenUsed/>
    <w:qFormat/>
    <w:rsid w:val="0021492A"/>
    <w:pPr>
      <w:outlineLvl w:val="3"/>
    </w:pPr>
    <w:rPr>
      <w:b/>
      <w:caps w:val="0"/>
    </w:rPr>
  </w:style>
  <w:style w:type="paragraph" w:styleId="Heading5">
    <w:name w:val="heading 5"/>
    <w:next w:val="Normal"/>
    <w:link w:val="Heading5Char"/>
    <w:uiPriority w:val="9"/>
    <w:unhideWhenUsed/>
    <w:qFormat/>
    <w:rsid w:val="0021492A"/>
    <w:pPr>
      <w:keepNext/>
      <w:keepLines/>
      <w:spacing w:before="200"/>
      <w:outlineLvl w:val="4"/>
    </w:pPr>
    <w:rPr>
      <w:rFonts w:cstheme="minorHAnsi"/>
      <w:i/>
      <w:sz w:val="24"/>
      <w:szCs w:val="24"/>
    </w:rPr>
  </w:style>
  <w:style w:type="paragraph" w:styleId="Heading6">
    <w:name w:val="heading 6"/>
    <w:next w:val="Normal"/>
    <w:link w:val="Heading6Char"/>
    <w:uiPriority w:val="9"/>
    <w:unhideWhenUsed/>
    <w:qFormat/>
    <w:rsid w:val="0021492A"/>
    <w:pPr>
      <w:keepNext/>
      <w:keepLines/>
      <w:spacing w:before="200" w:after="0"/>
      <w:outlineLvl w:val="5"/>
    </w:pPr>
    <w:rPr>
      <w:rFonts w:eastAsiaTheme="majorEastAsia" w:cstheme="minorHAnsi"/>
      <w:i/>
      <w:iCs/>
      <w:color w:val="000000" w:themeColor="text1"/>
      <w:sz w:val="21"/>
      <w:szCs w:val="24"/>
      <w:lang w:eastAsia="en-AU"/>
    </w:rPr>
  </w:style>
  <w:style w:type="paragraph" w:styleId="Heading7">
    <w:name w:val="heading 7"/>
    <w:basedOn w:val="Heading6"/>
    <w:next w:val="Normal"/>
    <w:link w:val="Heading7Char"/>
    <w:uiPriority w:val="9"/>
    <w:unhideWhenUsed/>
    <w:qFormat/>
    <w:rsid w:val="006049BA"/>
    <w:pPr>
      <w:outlineLvl w:val="6"/>
    </w:pPr>
  </w:style>
  <w:style w:type="paragraph" w:styleId="Heading8">
    <w:name w:val="heading 8"/>
    <w:next w:val="Normal"/>
    <w:link w:val="Heading8Char"/>
    <w:uiPriority w:val="9"/>
    <w:unhideWhenUsed/>
    <w:qFormat/>
    <w:rsid w:val="006049BA"/>
    <w:pPr>
      <w:keepNext/>
      <w:keepLines/>
      <w:spacing w:before="200" w:after="0"/>
      <w:outlineLvl w:val="7"/>
    </w:pPr>
    <w:rPr>
      <w:rFonts w:eastAsiaTheme="majorEastAsia" w:cstheme="minorHAnsi"/>
      <w:b/>
      <w:color w:val="000000" w:themeColor="text1"/>
      <w:sz w:val="21"/>
      <w:szCs w:val="20"/>
      <w:lang w:eastAsia="en-AU"/>
    </w:rPr>
  </w:style>
  <w:style w:type="paragraph" w:styleId="Heading9">
    <w:name w:val="heading 9"/>
    <w:basedOn w:val="Heading8"/>
    <w:next w:val="Normal"/>
    <w:link w:val="Heading9Char"/>
    <w:uiPriority w:val="9"/>
    <w:unhideWhenUsed/>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92A"/>
    <w:pPr>
      <w:pBdr>
        <w:bottom w:val="single" w:sz="2" w:space="0" w:color="000000" w:themeColor="text1"/>
      </w:pBdr>
      <w:tabs>
        <w:tab w:val="right" w:pos="8220"/>
      </w:tabs>
      <w:spacing w:before="240" w:after="60" w:line="240" w:lineRule="auto"/>
      <w:contextualSpacing/>
    </w:pPr>
    <w:rPr>
      <w:rFonts w:asciiTheme="minorHAnsi" w:eastAsiaTheme="majorEastAsia" w:hAnsiTheme="minorHAnsi" w:cstheme="minorHAnsi"/>
      <w:b/>
      <w:caps/>
      <w:kern w:val="32"/>
      <w:sz w:val="40"/>
      <w:szCs w:val="40"/>
    </w:rPr>
  </w:style>
  <w:style w:type="character" w:customStyle="1" w:styleId="TitleChar">
    <w:name w:val="Title Char"/>
    <w:basedOn w:val="DefaultParagraphFont"/>
    <w:link w:val="Title"/>
    <w:uiPriority w:val="10"/>
    <w:rsid w:val="0021492A"/>
    <w:rPr>
      <w:rFonts w:eastAsiaTheme="majorEastAsia" w:cstheme="minorHAnsi"/>
      <w:b/>
      <w:caps/>
      <w:kern w:val="32"/>
      <w:sz w:val="40"/>
      <w:szCs w:val="40"/>
      <w:lang w:eastAsia="en-AU"/>
    </w:rPr>
  </w:style>
  <w:style w:type="paragraph" w:customStyle="1" w:styleId="BulletSpacing">
    <w:name w:val="Bullet Spacing"/>
    <w:basedOn w:val="ListParagraph"/>
    <w:rsid w:val="001674AE"/>
  </w:style>
  <w:style w:type="paragraph" w:customStyle="1" w:styleId="NumberedSpacing">
    <w:name w:val="Numbered Spacing"/>
    <w:basedOn w:val="Normal"/>
    <w:rsid w:val="001674AE"/>
    <w:pPr>
      <w:numPr>
        <w:numId w:val="43"/>
      </w:numPr>
      <w:tabs>
        <w:tab w:val="left" w:pos="567"/>
      </w:tabs>
      <w:spacing w:before="0" w:after="120" w:line="288" w:lineRule="auto"/>
    </w:pPr>
    <w:rPr>
      <w:szCs w:val="21"/>
      <w:lang w:eastAsia="en-US"/>
    </w:rPr>
  </w:style>
  <w:style w:type="character" w:customStyle="1" w:styleId="Heading3Char">
    <w:name w:val="Heading 3 Char"/>
    <w:basedOn w:val="DefaultParagraphFont"/>
    <w:link w:val="Heading3"/>
    <w:rsid w:val="0021492A"/>
    <w:rPr>
      <w:rFonts w:ascii="Calibri" w:eastAsiaTheme="majorEastAsia" w:hAnsi="Calibri" w:cstheme="minorHAnsi"/>
      <w:bCs/>
      <w:caps/>
      <w:sz w:val="32"/>
      <w:szCs w:val="32"/>
      <w:lang w:eastAsia="en-AU"/>
    </w:rPr>
  </w:style>
  <w:style w:type="numbering" w:styleId="1ai">
    <w:name w:val="Outline List 1"/>
    <w:basedOn w:val="NoList"/>
    <w:rsid w:val="004D76FE"/>
    <w:pPr>
      <w:numPr>
        <w:numId w:val="3"/>
      </w:numPr>
    </w:pPr>
  </w:style>
  <w:style w:type="character" w:styleId="Hyperlink">
    <w:name w:val="Hyperlink"/>
    <w:uiPriority w:val="99"/>
    <w:rsid w:val="00A22FCD"/>
    <w:rPr>
      <w:color w:val="auto"/>
      <w:u w:val="single"/>
    </w:rPr>
  </w:style>
  <w:style w:type="paragraph" w:styleId="BalloonText">
    <w:name w:val="Balloon Text"/>
    <w:basedOn w:val="Normal"/>
    <w:link w:val="BalloonTextChar"/>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semiHidden/>
    <w:rsid w:val="004D76FE"/>
    <w:rPr>
      <w:rFonts w:ascii="Tahoma" w:eastAsia="Times New Roman" w:hAnsi="Tahoma" w:cs="Tahoma"/>
      <w:sz w:val="16"/>
      <w:szCs w:val="16"/>
    </w:rPr>
  </w:style>
  <w:style w:type="paragraph" w:styleId="FootnoteText">
    <w:name w:val="footnote text"/>
    <w:basedOn w:val="Normal"/>
    <w:link w:val="FootnoteTextChar"/>
    <w:semiHidden/>
    <w:rsid w:val="003E3725"/>
    <w:rPr>
      <w:color w:val="404040" w:themeColor="text1" w:themeTint="BF"/>
      <w:sz w:val="14"/>
      <w:szCs w:val="14"/>
    </w:rPr>
  </w:style>
  <w:style w:type="character" w:customStyle="1" w:styleId="FootnoteTextChar">
    <w:name w:val="Footnote Text Char"/>
    <w:basedOn w:val="DefaultParagraphFont"/>
    <w:link w:val="FootnoteText"/>
    <w:semiHidden/>
    <w:rsid w:val="003E3725"/>
    <w:rPr>
      <w:rFonts w:asciiTheme="majorHAnsi" w:eastAsia="Times New Roman" w:hAnsiTheme="majorHAnsi" w:cs="Times New Roman"/>
      <w:color w:val="404040" w:themeColor="text1" w:themeTint="BF"/>
      <w:sz w:val="14"/>
      <w:szCs w:val="14"/>
      <w:lang w:eastAsia="en-AU"/>
    </w:rPr>
  </w:style>
  <w:style w:type="character" w:styleId="FootnoteReference">
    <w:name w:val="footnote reference"/>
    <w:semiHidden/>
    <w:rsid w:val="004D76FE"/>
    <w:rPr>
      <w:vertAlign w:val="superscript"/>
    </w:rPr>
  </w:style>
  <w:style w:type="paragraph" w:styleId="Footer">
    <w:name w:val="footer"/>
    <w:basedOn w:val="Normal"/>
    <w:link w:val="FooterChar"/>
    <w:rsid w:val="003A006B"/>
    <w:pPr>
      <w:tabs>
        <w:tab w:val="center" w:pos="4153"/>
        <w:tab w:val="right" w:pos="8306"/>
      </w:tabs>
      <w:jc w:val="right"/>
    </w:pPr>
    <w:rPr>
      <w:rFonts w:asciiTheme="minorHAnsi" w:eastAsiaTheme="majorEastAsia" w:hAnsiTheme="minorHAnsi" w:cstheme="minorHAnsi"/>
      <w:sz w:val="16"/>
      <w:szCs w:val="16"/>
    </w:rPr>
  </w:style>
  <w:style w:type="character" w:customStyle="1" w:styleId="FooterChar">
    <w:name w:val="Footer Char"/>
    <w:basedOn w:val="DefaultParagraphFont"/>
    <w:link w:val="Footer"/>
    <w:rsid w:val="003A006B"/>
    <w:rPr>
      <w:rFonts w:eastAsiaTheme="majorEastAsia" w:cstheme="minorHAnsi"/>
      <w:sz w:val="16"/>
      <w:szCs w:val="16"/>
      <w:lang w:eastAsia="en-AU"/>
    </w:rPr>
  </w:style>
  <w:style w:type="character" w:styleId="PageNumber">
    <w:name w:val="page number"/>
    <w:basedOn w:val="DefaultParagraphFont"/>
    <w:rsid w:val="003A006B"/>
  </w:style>
  <w:style w:type="character" w:customStyle="1" w:styleId="Heading1Char">
    <w:name w:val="Heading 1 Char"/>
    <w:basedOn w:val="DefaultParagraphFont"/>
    <w:link w:val="Heading1"/>
    <w:uiPriority w:val="9"/>
    <w:rsid w:val="0021492A"/>
    <w:rPr>
      <w:rFonts w:eastAsiaTheme="majorEastAsia" w:cstheme="minorHAnsi"/>
      <w:b/>
      <w:bCs/>
      <w:color w:val="1E8FBB"/>
      <w:sz w:val="40"/>
      <w:szCs w:val="28"/>
      <w:lang w:eastAsia="en-AU"/>
    </w:rPr>
  </w:style>
  <w:style w:type="character" w:customStyle="1" w:styleId="Heading2Char">
    <w:name w:val="Heading 2 Char"/>
    <w:basedOn w:val="DefaultParagraphFont"/>
    <w:link w:val="Heading2"/>
    <w:uiPriority w:val="9"/>
    <w:rsid w:val="0021492A"/>
    <w:rPr>
      <w:rFonts w:eastAsiaTheme="majorEastAsia" w:cstheme="minorHAnsi"/>
      <w:b/>
      <w:bCs/>
      <w:color w:val="1E8FBB"/>
      <w:sz w:val="32"/>
      <w:szCs w:val="32"/>
      <w:lang w:eastAsia="en-AU"/>
    </w:rPr>
  </w:style>
  <w:style w:type="character" w:customStyle="1" w:styleId="Heading4Char">
    <w:name w:val="Heading 4 Char"/>
    <w:basedOn w:val="DefaultParagraphFont"/>
    <w:link w:val="Heading4"/>
    <w:uiPriority w:val="9"/>
    <w:rsid w:val="0021492A"/>
    <w:rPr>
      <w:rFonts w:ascii="Calibri" w:eastAsiaTheme="majorEastAsia" w:hAnsi="Calibri" w:cstheme="minorHAnsi"/>
      <w:b/>
      <w:bCs/>
      <w:sz w:val="32"/>
      <w:szCs w:val="32"/>
      <w:lang w:eastAsia="en-AU"/>
    </w:rPr>
  </w:style>
  <w:style w:type="paragraph" w:styleId="Quote">
    <w:name w:val="Quote"/>
    <w:basedOn w:val="Normal"/>
    <w:next w:val="Normal"/>
    <w:link w:val="QuoteChar"/>
    <w:uiPriority w:val="29"/>
    <w:qFormat/>
    <w:rsid w:val="0028789C"/>
    <w:pPr>
      <w:spacing w:before="180" w:after="180"/>
      <w:ind w:left="426"/>
    </w:pPr>
    <w:rPr>
      <w:i/>
      <w:iCs/>
      <w:color w:val="000000" w:themeColor="text1"/>
    </w:rPr>
  </w:style>
  <w:style w:type="character" w:customStyle="1" w:styleId="QuoteChar">
    <w:name w:val="Quote Char"/>
    <w:basedOn w:val="DefaultParagraphFont"/>
    <w:link w:val="Quote"/>
    <w:uiPriority w:val="29"/>
    <w:rsid w:val="0028789C"/>
    <w:rPr>
      <w:rFonts w:ascii="Minion Pro" w:eastAsia="Times New Roman" w:hAnsi="Minion Pro" w:cs="Times New Roman"/>
      <w:i/>
      <w:iCs/>
      <w:color w:val="000000" w:themeColor="text1"/>
      <w:sz w:val="21"/>
      <w:szCs w:val="24"/>
      <w:lang w:eastAsia="en-AU"/>
    </w:rPr>
  </w:style>
  <w:style w:type="paragraph" w:styleId="TOCHeading">
    <w:name w:val="TOC Heading"/>
    <w:basedOn w:val="Heading1"/>
    <w:next w:val="Normal"/>
    <w:uiPriority w:val="39"/>
    <w:unhideWhenUsed/>
    <w:qFormat/>
    <w:rsid w:val="00A36146"/>
    <w:pPr>
      <w:spacing w:before="480" w:after="0"/>
      <w:outlineLvl w:val="9"/>
    </w:pPr>
    <w:rPr>
      <w:lang w:val="en-US" w:eastAsia="ja-JP"/>
    </w:rPr>
  </w:style>
  <w:style w:type="paragraph" w:styleId="TOC3">
    <w:name w:val="toc 3"/>
    <w:basedOn w:val="TOC2"/>
    <w:next w:val="Normal"/>
    <w:autoRedefine/>
    <w:uiPriority w:val="39"/>
    <w:unhideWhenUsed/>
    <w:qFormat/>
    <w:rsid w:val="00DA0C54"/>
    <w:pPr>
      <w:ind w:left="709"/>
    </w:pPr>
    <w:rPr>
      <w:i/>
    </w:rPr>
  </w:style>
  <w:style w:type="paragraph" w:styleId="TOC1">
    <w:name w:val="toc 1"/>
    <w:basedOn w:val="Normal"/>
    <w:next w:val="Normal"/>
    <w:autoRedefine/>
    <w:uiPriority w:val="39"/>
    <w:unhideWhenUsed/>
    <w:qFormat/>
    <w:rsid w:val="003A006B"/>
    <w:pPr>
      <w:tabs>
        <w:tab w:val="right" w:leader="dot" w:pos="8210"/>
      </w:tabs>
      <w:spacing w:after="100"/>
    </w:pPr>
    <w:rPr>
      <w:rFonts w:asciiTheme="minorHAnsi" w:hAnsiTheme="minorHAnsi" w:cstheme="minorHAnsi"/>
      <w:sz w:val="28"/>
    </w:rPr>
  </w:style>
  <w:style w:type="paragraph" w:styleId="TOC2">
    <w:name w:val="toc 2"/>
    <w:basedOn w:val="Normal"/>
    <w:next w:val="Normal"/>
    <w:autoRedefine/>
    <w:uiPriority w:val="39"/>
    <w:unhideWhenUsed/>
    <w:qFormat/>
    <w:rsid w:val="0021492A"/>
    <w:pPr>
      <w:tabs>
        <w:tab w:val="right" w:leader="dot" w:pos="8210"/>
      </w:tabs>
      <w:spacing w:after="100"/>
      <w:ind w:left="425"/>
    </w:pPr>
    <w:rPr>
      <w:rFonts w:cstheme="minorHAnsi"/>
      <w:noProof/>
      <w:sz w:val="24"/>
    </w:rPr>
  </w:style>
  <w:style w:type="paragraph" w:styleId="ListParagraph">
    <w:name w:val="List Paragraph"/>
    <w:basedOn w:val="Normal"/>
    <w:uiPriority w:val="34"/>
    <w:qFormat/>
    <w:rsid w:val="001674AE"/>
    <w:pPr>
      <w:numPr>
        <w:numId w:val="32"/>
      </w:numPr>
      <w:spacing w:after="240"/>
      <w:ind w:left="425" w:hanging="425"/>
    </w:pPr>
    <w:rPr>
      <w:rFonts w:eastAsiaTheme="minorHAnsi"/>
      <w:lang w:eastAsia="en-US"/>
    </w:rPr>
  </w:style>
  <w:style w:type="paragraph" w:styleId="ListBullet">
    <w:name w:val="List Bullet"/>
    <w:basedOn w:val="Normal"/>
    <w:uiPriority w:val="99"/>
    <w:unhideWhenUsed/>
    <w:rsid w:val="0028789C"/>
    <w:pPr>
      <w:numPr>
        <w:numId w:val="19"/>
      </w:numPr>
      <w:spacing w:after="120"/>
      <w:ind w:left="426" w:hanging="426"/>
      <w:contextualSpacing/>
    </w:pPr>
  </w:style>
  <w:style w:type="paragraph" w:styleId="ListBullet2">
    <w:name w:val="List Bullet 2"/>
    <w:basedOn w:val="Normal"/>
    <w:uiPriority w:val="99"/>
    <w:unhideWhenUsed/>
    <w:rsid w:val="0028789C"/>
    <w:pPr>
      <w:numPr>
        <w:numId w:val="7"/>
      </w:numPr>
      <w:tabs>
        <w:tab w:val="clear" w:pos="643"/>
        <w:tab w:val="num" w:pos="1985"/>
      </w:tabs>
      <w:spacing w:before="120" w:after="120"/>
      <w:ind w:left="851" w:hanging="425"/>
      <w:contextualSpacing/>
    </w:pPr>
  </w:style>
  <w:style w:type="paragraph" w:styleId="ListBullet3">
    <w:name w:val="List Bullet 3"/>
    <w:basedOn w:val="Normal"/>
    <w:uiPriority w:val="99"/>
    <w:unhideWhenUsed/>
    <w:rsid w:val="0028789C"/>
    <w:pPr>
      <w:numPr>
        <w:numId w:val="8"/>
      </w:numPr>
      <w:tabs>
        <w:tab w:val="clear" w:pos="926"/>
        <w:tab w:val="num" w:pos="1276"/>
      </w:tabs>
      <w:spacing w:before="120" w:after="120"/>
      <w:ind w:left="1276" w:hanging="425"/>
      <w:contextualSpacing/>
    </w:pPr>
  </w:style>
  <w:style w:type="paragraph" w:styleId="ListBullet4">
    <w:name w:val="List Bullet 4"/>
    <w:basedOn w:val="Normal"/>
    <w:uiPriority w:val="99"/>
    <w:unhideWhenUsed/>
    <w:rsid w:val="0028789C"/>
    <w:pPr>
      <w:numPr>
        <w:numId w:val="9"/>
      </w:numPr>
      <w:tabs>
        <w:tab w:val="left" w:pos="1701"/>
      </w:tabs>
      <w:ind w:left="1701" w:hanging="425"/>
      <w:contextualSpacing/>
    </w:pPr>
  </w:style>
  <w:style w:type="paragraph" w:styleId="ListBullet5">
    <w:name w:val="List Bullet 5"/>
    <w:basedOn w:val="Normal"/>
    <w:uiPriority w:val="99"/>
    <w:unhideWhenUsed/>
    <w:rsid w:val="0028789C"/>
    <w:pPr>
      <w:numPr>
        <w:numId w:val="10"/>
      </w:numPr>
      <w:ind w:left="2127" w:hanging="426"/>
      <w:contextualSpacing/>
    </w:pPr>
  </w:style>
  <w:style w:type="paragraph" w:styleId="TOC4">
    <w:name w:val="toc 4"/>
    <w:basedOn w:val="TOC3"/>
    <w:next w:val="Normal"/>
    <w:autoRedefine/>
    <w:uiPriority w:val="39"/>
    <w:unhideWhenUsed/>
    <w:rsid w:val="00DA0C54"/>
  </w:style>
  <w:style w:type="paragraph" w:styleId="TOC5">
    <w:name w:val="toc 5"/>
    <w:basedOn w:val="TOC4"/>
    <w:next w:val="Normal"/>
    <w:autoRedefine/>
    <w:uiPriority w:val="39"/>
    <w:unhideWhenUsed/>
    <w:rsid w:val="00DA0C54"/>
    <w:rPr>
      <w:sz w:val="21"/>
    </w:rPr>
  </w:style>
  <w:style w:type="paragraph" w:styleId="TOC6">
    <w:name w:val="toc 6"/>
    <w:basedOn w:val="TOC5"/>
    <w:next w:val="Normal"/>
    <w:autoRedefine/>
    <w:uiPriority w:val="39"/>
    <w:unhideWhenUsed/>
    <w:rsid w:val="00DA0C54"/>
  </w:style>
  <w:style w:type="paragraph" w:styleId="TOC7">
    <w:name w:val="toc 7"/>
    <w:basedOn w:val="TOC6"/>
    <w:next w:val="Normal"/>
    <w:autoRedefine/>
    <w:uiPriority w:val="39"/>
    <w:unhideWhenUsed/>
    <w:rsid w:val="00DA0C54"/>
  </w:style>
  <w:style w:type="paragraph" w:styleId="TOC8">
    <w:name w:val="toc 8"/>
    <w:basedOn w:val="TOC7"/>
    <w:next w:val="Normal"/>
    <w:autoRedefine/>
    <w:uiPriority w:val="39"/>
    <w:unhideWhenUsed/>
    <w:rsid w:val="00DA0C54"/>
  </w:style>
  <w:style w:type="paragraph" w:styleId="TOC9">
    <w:name w:val="toc 9"/>
    <w:basedOn w:val="Normal"/>
    <w:next w:val="Normal"/>
    <w:autoRedefine/>
    <w:uiPriority w:val="39"/>
    <w:semiHidden/>
    <w:unhideWhenUsed/>
    <w:rsid w:val="00B75E84"/>
    <w:pPr>
      <w:spacing w:after="100"/>
      <w:ind w:left="1276"/>
    </w:pPr>
  </w:style>
  <w:style w:type="paragraph" w:styleId="ListContinue2">
    <w:name w:val="List Continue 2"/>
    <w:basedOn w:val="Normal"/>
    <w:uiPriority w:val="99"/>
    <w:unhideWhenUsed/>
    <w:rsid w:val="00BE72DE"/>
    <w:pPr>
      <w:spacing w:after="120"/>
      <w:ind w:left="426"/>
      <w:contextualSpacing/>
    </w:pPr>
  </w:style>
  <w:style w:type="paragraph" w:styleId="NormalWeb">
    <w:name w:val="Normal (Web)"/>
    <w:basedOn w:val="Normal"/>
    <w:uiPriority w:val="99"/>
    <w:unhideWhenUsed/>
    <w:rsid w:val="00E67408"/>
  </w:style>
  <w:style w:type="character" w:styleId="Emphasis">
    <w:name w:val="Emphasis"/>
    <w:basedOn w:val="DefaultParagraphFont"/>
    <w:uiPriority w:val="20"/>
    <w:qFormat/>
    <w:rsid w:val="00377839"/>
    <w:rPr>
      <w:i/>
      <w:iCs/>
    </w:rPr>
  </w:style>
  <w:style w:type="character" w:styleId="IntenseEmphasis">
    <w:name w:val="Intense Emphasis"/>
    <w:basedOn w:val="DefaultParagraphFont"/>
    <w:uiPriority w:val="21"/>
    <w:qFormat/>
    <w:rsid w:val="00CE451F"/>
    <w:rPr>
      <w:b/>
      <w:bCs/>
      <w:i/>
      <w:iCs/>
      <w:color w:val="000000" w:themeColor="text1"/>
    </w:rPr>
  </w:style>
  <w:style w:type="paragraph" w:styleId="IntenseQuote">
    <w:name w:val="Intense Quote"/>
    <w:basedOn w:val="Normal"/>
    <w:next w:val="Normal"/>
    <w:link w:val="IntenseQuoteChar"/>
    <w:uiPriority w:val="30"/>
    <w:qFormat/>
    <w:rsid w:val="0021492A"/>
    <w:pPr>
      <w:pBdr>
        <w:bottom w:val="single" w:sz="4" w:space="10" w:color="7F7F7F" w:themeColor="text1" w:themeTint="80"/>
      </w:pBdr>
      <w:spacing w:before="200" w:after="280"/>
      <w:ind w:left="426" w:right="567"/>
    </w:pPr>
    <w:rPr>
      <w:rFonts w:cstheme="minorHAnsi"/>
      <w:bCs/>
      <w:i/>
      <w:iCs/>
      <w:color w:val="000000" w:themeColor="text1"/>
      <w:sz w:val="28"/>
    </w:rPr>
  </w:style>
  <w:style w:type="character" w:customStyle="1" w:styleId="IntenseQuoteChar">
    <w:name w:val="Intense Quote Char"/>
    <w:basedOn w:val="DefaultParagraphFont"/>
    <w:link w:val="IntenseQuote"/>
    <w:uiPriority w:val="30"/>
    <w:rsid w:val="0021492A"/>
    <w:rPr>
      <w:rFonts w:eastAsia="Times New Roman" w:cstheme="minorHAnsi"/>
      <w:bCs/>
      <w:i/>
      <w:iCs/>
      <w:color w:val="000000" w:themeColor="text1"/>
      <w:sz w:val="28"/>
      <w:szCs w:val="24"/>
      <w:lang w:eastAsia="en-AU"/>
    </w:rPr>
  </w:style>
  <w:style w:type="character" w:styleId="Strong">
    <w:name w:val="Strong"/>
    <w:basedOn w:val="DefaultParagraphFont"/>
    <w:uiPriority w:val="22"/>
    <w:qFormat/>
    <w:rsid w:val="00CE451F"/>
    <w:rPr>
      <w:b/>
      <w:bCs/>
    </w:rPr>
  </w:style>
  <w:style w:type="paragraph" w:styleId="Subtitle">
    <w:name w:val="Subtitle"/>
    <w:basedOn w:val="Normal"/>
    <w:next w:val="Normal"/>
    <w:link w:val="SubtitleChar"/>
    <w:uiPriority w:val="11"/>
    <w:qFormat/>
    <w:rsid w:val="0021492A"/>
    <w:pPr>
      <w:numPr>
        <w:ilvl w:val="1"/>
      </w:numPr>
    </w:pPr>
    <w:rPr>
      <w:rFonts w:asciiTheme="minorHAnsi" w:eastAsiaTheme="majorEastAsia" w:hAnsiTheme="minorHAnsi" w:cstheme="minorHAnsi"/>
      <w:iCs/>
      <w:smallCaps/>
      <w:spacing w:val="15"/>
      <w:sz w:val="28"/>
    </w:rPr>
  </w:style>
  <w:style w:type="character" w:customStyle="1" w:styleId="SubtitleChar">
    <w:name w:val="Subtitle Char"/>
    <w:basedOn w:val="DefaultParagraphFont"/>
    <w:link w:val="Subtitle"/>
    <w:uiPriority w:val="11"/>
    <w:rsid w:val="0021492A"/>
    <w:rPr>
      <w:rFonts w:eastAsiaTheme="majorEastAsia" w:cstheme="minorHAnsi"/>
      <w:iCs/>
      <w:smallCaps/>
      <w:spacing w:val="15"/>
      <w:sz w:val="28"/>
      <w:szCs w:val="24"/>
      <w:lang w:eastAsia="en-AU"/>
    </w:rPr>
  </w:style>
  <w:style w:type="paragraph" w:customStyle="1" w:styleId="Recommendation">
    <w:name w:val="Recommendation"/>
    <w:qFormat/>
    <w:rsid w:val="006049BA"/>
    <w:pPr>
      <w:pBdr>
        <w:bottom w:val="single" w:sz="4" w:space="10" w:color="808080" w:themeColor="background1" w:themeShade="80"/>
      </w:pBdr>
      <w:autoSpaceDE w:val="0"/>
      <w:autoSpaceDN w:val="0"/>
      <w:adjustRightInd w:val="0"/>
      <w:spacing w:after="360"/>
    </w:pPr>
    <w:rPr>
      <w:rFonts w:cs="ArialNarrow"/>
    </w:rPr>
  </w:style>
  <w:style w:type="paragraph" w:customStyle="1" w:styleId="Recomendationheading">
    <w:name w:val="Recomendation heading"/>
    <w:basedOn w:val="Recommendation"/>
    <w:next w:val="Recommendation"/>
    <w:qFormat/>
    <w:rsid w:val="0021492A"/>
    <w:pPr>
      <w:keepNext/>
      <w:pBdr>
        <w:top w:val="single" w:sz="4" w:space="10" w:color="808080" w:themeColor="background1" w:themeShade="80"/>
        <w:bottom w:val="none" w:sz="0" w:space="0" w:color="auto"/>
      </w:pBdr>
      <w:spacing w:after="120"/>
    </w:pPr>
    <w:rPr>
      <w:rFonts w:cstheme="minorHAnsi"/>
      <w:caps/>
      <w:sz w:val="28"/>
    </w:rPr>
  </w:style>
  <w:style w:type="character" w:styleId="EndnoteReference">
    <w:name w:val="endnote reference"/>
    <w:basedOn w:val="DefaultParagraphFont"/>
    <w:uiPriority w:val="99"/>
    <w:unhideWhenUsed/>
    <w:rsid w:val="00377839"/>
    <w:rPr>
      <w:vertAlign w:val="superscript"/>
    </w:rPr>
  </w:style>
  <w:style w:type="character" w:styleId="SubtleReference">
    <w:name w:val="Subtle Reference"/>
    <w:basedOn w:val="DefaultParagraphFont"/>
    <w:uiPriority w:val="31"/>
    <w:qFormat/>
    <w:rsid w:val="005F1AF0"/>
    <w:rPr>
      <w:smallCaps/>
      <w:color w:val="000000" w:themeColor="text1"/>
      <w:u w:val="single"/>
    </w:rPr>
  </w:style>
  <w:style w:type="character" w:styleId="IntenseReference">
    <w:name w:val="Intense Reference"/>
    <w:basedOn w:val="DefaultParagraphFont"/>
    <w:uiPriority w:val="32"/>
    <w:qFormat/>
    <w:rsid w:val="005F1AF0"/>
    <w:rPr>
      <w:b/>
      <w:bCs/>
      <w:smallCaps/>
      <w:color w:val="auto"/>
      <w:spacing w:val="5"/>
      <w:u w:val="single"/>
    </w:rPr>
  </w:style>
  <w:style w:type="paragraph" w:styleId="Header">
    <w:name w:val="header"/>
    <w:basedOn w:val="Normal"/>
    <w:link w:val="HeaderChar"/>
    <w:uiPriority w:val="99"/>
    <w:unhideWhenUsed/>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1AF0"/>
    <w:rPr>
      <w:rFonts w:ascii="Minion Pro" w:eastAsia="Times New Roman" w:hAnsi="Minion Pro" w:cs="Times New Roman"/>
      <w:sz w:val="24"/>
      <w:szCs w:val="24"/>
      <w:lang w:eastAsia="en-AU"/>
    </w:rPr>
  </w:style>
  <w:style w:type="character" w:customStyle="1" w:styleId="Heading5Char">
    <w:name w:val="Heading 5 Char"/>
    <w:basedOn w:val="DefaultParagraphFont"/>
    <w:link w:val="Heading5"/>
    <w:uiPriority w:val="9"/>
    <w:rsid w:val="0021492A"/>
    <w:rPr>
      <w:rFonts w:cstheme="minorHAnsi"/>
      <w:i/>
      <w:sz w:val="24"/>
      <w:szCs w:val="24"/>
    </w:rPr>
  </w:style>
  <w:style w:type="character" w:customStyle="1" w:styleId="Heading6Char">
    <w:name w:val="Heading 6 Char"/>
    <w:basedOn w:val="DefaultParagraphFont"/>
    <w:link w:val="Heading6"/>
    <w:uiPriority w:val="9"/>
    <w:rsid w:val="0021492A"/>
    <w:rPr>
      <w:rFonts w:eastAsiaTheme="majorEastAsia" w:cstheme="minorHAnsi"/>
      <w:i/>
      <w:iCs/>
      <w:color w:val="000000" w:themeColor="text1"/>
      <w:sz w:val="21"/>
      <w:szCs w:val="24"/>
      <w:lang w:eastAsia="en-AU"/>
    </w:rPr>
  </w:style>
  <w:style w:type="character" w:customStyle="1" w:styleId="Heading7Char">
    <w:name w:val="Heading 7 Char"/>
    <w:basedOn w:val="DefaultParagraphFont"/>
    <w:link w:val="Heading7"/>
    <w:uiPriority w:val="9"/>
    <w:rsid w:val="006049BA"/>
    <w:rPr>
      <w:rFonts w:eastAsiaTheme="majorEastAsia" w:cstheme="minorHAnsi"/>
      <w:i/>
      <w:iCs/>
      <w:color w:val="000000" w:themeColor="text1"/>
      <w:sz w:val="21"/>
      <w:szCs w:val="24"/>
      <w:lang w:eastAsia="en-AU"/>
    </w:rPr>
  </w:style>
  <w:style w:type="character" w:customStyle="1" w:styleId="Heading8Char">
    <w:name w:val="Heading 8 Char"/>
    <w:basedOn w:val="DefaultParagraphFont"/>
    <w:link w:val="Heading8"/>
    <w:uiPriority w:val="9"/>
    <w:rsid w:val="006049BA"/>
    <w:rPr>
      <w:rFonts w:eastAsiaTheme="majorEastAsia" w:cstheme="minorHAnsi"/>
      <w:b/>
      <w:color w:val="000000" w:themeColor="text1"/>
      <w:sz w:val="21"/>
      <w:szCs w:val="20"/>
      <w:lang w:eastAsia="en-AU"/>
    </w:rPr>
  </w:style>
  <w:style w:type="character" w:customStyle="1" w:styleId="Heading9Char">
    <w:name w:val="Heading 9 Char"/>
    <w:basedOn w:val="DefaultParagraphFont"/>
    <w:link w:val="Heading9"/>
    <w:uiPriority w:val="9"/>
    <w:rsid w:val="006049BA"/>
    <w:rPr>
      <w:rFonts w:eastAsiaTheme="majorEastAsia" w:cstheme="minorHAnsi"/>
      <w:b/>
      <w:color w:val="000000" w:themeColor="text1"/>
      <w:sz w:val="21"/>
      <w:szCs w:val="20"/>
      <w:lang w:eastAsia="en-AU"/>
    </w:rPr>
  </w:style>
  <w:style w:type="paragraph" w:styleId="PlainText">
    <w:name w:val="Plain Text"/>
    <w:basedOn w:val="Normal"/>
    <w:link w:val="PlainTextChar"/>
    <w:uiPriority w:val="99"/>
    <w:semiHidden/>
    <w:unhideWhenUsed/>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rsid w:val="00A22FCD"/>
    <w:rPr>
      <w:rFonts w:ascii="Minion Pro" w:eastAsia="Times New Roman" w:hAnsi="Minion Pro" w:cs="Consolas"/>
      <w:sz w:val="24"/>
      <w:szCs w:val="21"/>
      <w:lang w:eastAsia="en-AU"/>
    </w:rPr>
  </w:style>
  <w:style w:type="paragraph" w:styleId="BlockText">
    <w:name w:val="Block Text"/>
    <w:basedOn w:val="Normal"/>
    <w:uiPriority w:val="99"/>
    <w:unhideWhenUsed/>
    <w:rsid w:val="00F60363"/>
    <w:pPr>
      <w:pBdr>
        <w:top w:val="single" w:sz="2" w:space="12" w:color="808080" w:themeColor="background1" w:themeShade="80"/>
        <w:bottom w:val="single" w:sz="2" w:space="12" w:color="808080" w:themeColor="background1" w:themeShade="80"/>
      </w:pBdr>
    </w:pPr>
    <w:rPr>
      <w:rFonts w:eastAsiaTheme="minorEastAsia" w:cstheme="minorBidi"/>
      <w:i/>
      <w:iCs/>
    </w:rPr>
  </w:style>
  <w:style w:type="paragraph" w:styleId="ListNumber">
    <w:name w:val="List Number"/>
    <w:basedOn w:val="Normal"/>
    <w:uiPriority w:val="99"/>
    <w:semiHidden/>
    <w:unhideWhenUsed/>
    <w:rsid w:val="0039436C"/>
    <w:pPr>
      <w:numPr>
        <w:numId w:val="11"/>
      </w:numPr>
      <w:ind w:left="357" w:hanging="357"/>
      <w:contextualSpacing/>
    </w:pPr>
  </w:style>
  <w:style w:type="character" w:styleId="BookTitle">
    <w:name w:val="Book Title"/>
    <w:basedOn w:val="DefaultParagraphFont"/>
    <w:uiPriority w:val="33"/>
    <w:qFormat/>
    <w:rsid w:val="003A006B"/>
    <w:rPr>
      <w:rFonts w:asciiTheme="minorHAnsi" w:hAnsiTheme="minorHAnsi" w:cstheme="minorHAnsi"/>
      <w:b/>
      <w:bCs/>
      <w:caps/>
      <w:spacing w:val="5"/>
      <w:sz w:val="21"/>
      <w:szCs w:val="21"/>
    </w:rPr>
  </w:style>
  <w:style w:type="character" w:styleId="PlaceholderText">
    <w:name w:val="Placeholder Text"/>
    <w:basedOn w:val="DefaultParagraphFont"/>
    <w:uiPriority w:val="99"/>
    <w:semiHidden/>
    <w:rsid w:val="000A5CA6"/>
    <w:rPr>
      <w:color w:val="808080"/>
    </w:rPr>
  </w:style>
  <w:style w:type="numbering" w:customStyle="1" w:styleId="Style1">
    <w:name w:val="Style1"/>
    <w:uiPriority w:val="99"/>
    <w:rsid w:val="0031406E"/>
    <w:pPr>
      <w:numPr>
        <w:numId w:val="33"/>
      </w:numPr>
    </w:pPr>
  </w:style>
  <w:style w:type="paragraph" w:styleId="TOAHeading">
    <w:name w:val="toa heading"/>
    <w:basedOn w:val="TOCHeading"/>
    <w:next w:val="Normal"/>
    <w:uiPriority w:val="99"/>
    <w:unhideWhenUsed/>
    <w:rsid w:val="00DA0C54"/>
  </w:style>
  <w:style w:type="character" w:styleId="FollowedHyperlink">
    <w:name w:val="FollowedHyperlink"/>
    <w:uiPriority w:val="99"/>
    <w:unhideWhenUsed/>
    <w:rsid w:val="00D43081"/>
    <w:rPr>
      <w:u w:val="single"/>
    </w:rPr>
  </w:style>
</w:styles>
</file>

<file path=word/webSettings.xml><?xml version="1.0" encoding="utf-8"?>
<w:webSettings xmlns:r="http://schemas.openxmlformats.org/officeDocument/2006/relationships" xmlns:w="http://schemas.openxmlformats.org/wordprocessingml/2006/main">
  <w:divs>
    <w:div w:id="684482481">
      <w:bodyDiv w:val="1"/>
      <w:marLeft w:val="0"/>
      <w:marRight w:val="0"/>
      <w:marTop w:val="0"/>
      <w:marBottom w:val="0"/>
      <w:divBdr>
        <w:top w:val="none" w:sz="0" w:space="0" w:color="auto"/>
        <w:left w:val="none" w:sz="0" w:space="0" w:color="auto"/>
        <w:bottom w:val="none" w:sz="0" w:space="0" w:color="auto"/>
        <w:right w:val="none" w:sz="0" w:space="0" w:color="auto"/>
      </w:divBdr>
    </w:div>
    <w:div w:id="759569502">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931007021">
      <w:bodyDiv w:val="1"/>
      <w:marLeft w:val="0"/>
      <w:marRight w:val="0"/>
      <w:marTop w:val="0"/>
      <w:marBottom w:val="0"/>
      <w:divBdr>
        <w:top w:val="none" w:sz="0" w:space="0" w:color="auto"/>
        <w:left w:val="none" w:sz="0" w:space="0" w:color="auto"/>
        <w:bottom w:val="none" w:sz="0" w:space="0" w:color="auto"/>
        <w:right w:val="none" w:sz="0" w:space="0" w:color="auto"/>
      </w:divBdr>
    </w:div>
    <w:div w:id="1505047563">
      <w:bodyDiv w:val="1"/>
      <w:marLeft w:val="0"/>
      <w:marRight w:val="0"/>
      <w:marTop w:val="0"/>
      <w:marBottom w:val="0"/>
      <w:divBdr>
        <w:top w:val="none" w:sz="0" w:space="0" w:color="auto"/>
        <w:left w:val="none" w:sz="0" w:space="0" w:color="auto"/>
        <w:bottom w:val="none" w:sz="0" w:space="0" w:color="auto"/>
        <w:right w:val="none" w:sz="0" w:space="0" w:color="auto"/>
      </w:divBdr>
    </w:div>
    <w:div w:id="18080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oad@nl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digitalpreservation.gov/documents/digital_preservation_final_report2008.pdf" TargetMode="External"/><Relationship Id="rId2" Type="http://schemas.openxmlformats.org/officeDocument/2006/relationships/hyperlink" Target="http://www.digital.org.au/our-work/submission/review-technological-protection-measures-exceptions" TargetMode="External"/><Relationship Id="rId1" Type="http://schemas.openxmlformats.org/officeDocument/2006/relationships/hyperlink" Target="http://vhs-to-dvd-converters-review.toptenreviews.com/diamond-video-capture-review.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ients\ada\ADA_Finished%20art\Word%20template\FA_ADA%20-%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1C4E-7081-4432-86A8-9BBE99F3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FA_ADA - submission template</Template>
  <TotalTime>276</TotalTime>
  <Pages>10</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Menzies</dc:creator>
  <cp:lastModifiedBy>Eloise Menzies</cp:lastModifiedBy>
  <cp:revision>8</cp:revision>
  <cp:lastPrinted>2012-08-16T02:15:00Z</cp:lastPrinted>
  <dcterms:created xsi:type="dcterms:W3CDTF">2012-08-16T07:22:00Z</dcterms:created>
  <dcterms:modified xsi:type="dcterms:W3CDTF">2012-08-17T06:07:00Z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-1603656612</vt:i4>
  </property>
  <property fmtid="{D5CDD505-2E9C-101B-9397-08002B2CF9AE}" pid="3" name="_AdHocReviewCycleID">
    <vt:i4>-1902215139</vt:i4>
  </property>
  <property fmtid="{D5CDD505-2E9C-101B-9397-08002B2CF9AE}" pid="4" name="_NewReviewCycle">
    <vt:lpwstr/>
  </property>
  <property fmtid="{D5CDD505-2E9C-101B-9397-08002B2CF9AE}" pid="5" name="_EmailSubject">
    <vt:lpwstr>Response to ALRC terms of Reference; no proposed international obligations</vt:lpwstr>
  </property>
  <property fmtid="{D5CDD505-2E9C-101B-9397-08002B2CF9AE}" pid="6" name="_AuthorEmail">
    <vt:lpwstr>EMENZIES@nla.gov.au</vt:lpwstr>
  </property>
  <property fmtid="{D5CDD505-2E9C-101B-9397-08002B2CF9AE}" pid="7" name="_AuthorEmailDisplayName">
    <vt:lpwstr>Eloise Menzies</vt:lpwstr>
  </property>
  <property fmtid="{D5CDD505-2E9C-101B-9397-08002B2CF9AE}" pid="8" name="_PreviousAdHocReviewCycleID">
    <vt:i4>-418697309</vt:i4>
  </property>
  <property fmtid="{D5CDD505-2E9C-101B-9397-08002B2CF9AE}" pid="9" name="_ReviewingToolsShownOnce">
    <vt:lpwstr/>
  </property>
</Properties>
</file>