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7F7F7F" w:themeColor="text1" w:themeTint="80"/>
          <w:szCs w:val="18"/>
          <w14:numForm w14:val="lining"/>
        </w:rPr>
        <w:id w:val="696284006"/>
        <w:docPartObj>
          <w:docPartGallery w:val="Cover Pages"/>
          <w:docPartUnique/>
        </w:docPartObj>
      </w:sdtPr>
      <w:sdtEndPr/>
      <w:sdtContent>
        <w:p w14:paraId="296F4B85" w14:textId="77777777" w:rsidR="005F1DF7" w:rsidRDefault="005F1DF7" w:rsidP="005F1DF7">
          <w:pPr>
            <w:rPr>
              <w:rFonts w:ascii="Tahoma" w:eastAsia="Times New Roman" w:hAnsi="Tahoma" w:cs="Tahoma"/>
              <w:b/>
              <w:bCs/>
              <w:color w:val="000000"/>
              <w:sz w:val="20"/>
              <w:szCs w:val="20"/>
              <w:lang w:eastAsia="en-GB"/>
            </w:rPr>
          </w:pPr>
        </w:p>
        <w:p w14:paraId="2DB10476" w14:textId="77777777" w:rsidR="005F1DF7" w:rsidRDefault="005F1DF7" w:rsidP="005F1DF7">
          <w:pPr>
            <w:rPr>
              <w:rFonts w:ascii="Tahoma" w:eastAsia="Times New Roman" w:hAnsi="Tahoma" w:cs="Tahoma"/>
              <w:b/>
              <w:bCs/>
              <w:color w:val="000000"/>
              <w:sz w:val="20"/>
              <w:szCs w:val="20"/>
              <w:lang w:eastAsia="en-GB"/>
            </w:rPr>
          </w:pPr>
        </w:p>
        <w:p w14:paraId="7B04DFDB" w14:textId="77777777" w:rsidR="005F1DF7" w:rsidRDefault="005F1DF7" w:rsidP="005F1DF7">
          <w:pPr>
            <w:rPr>
              <w:rFonts w:ascii="Tahoma" w:eastAsia="Times New Roman" w:hAnsi="Tahoma" w:cs="Tahoma"/>
              <w:b/>
              <w:bCs/>
              <w:color w:val="000000"/>
              <w:sz w:val="20"/>
              <w:szCs w:val="20"/>
              <w:lang w:eastAsia="en-GB"/>
            </w:rPr>
          </w:pPr>
        </w:p>
        <w:p w14:paraId="050CCF38" w14:textId="77777777" w:rsidR="005F1DF7" w:rsidRDefault="005F1DF7" w:rsidP="005F1DF7">
          <w:pPr>
            <w:rPr>
              <w:rFonts w:ascii="Tahoma" w:eastAsia="Times New Roman" w:hAnsi="Tahoma" w:cs="Tahoma"/>
              <w:b/>
              <w:bCs/>
              <w:color w:val="000000"/>
              <w:sz w:val="20"/>
              <w:szCs w:val="20"/>
              <w:lang w:eastAsia="en-GB"/>
            </w:rPr>
          </w:pPr>
          <w:r>
            <w:rPr>
              <w:b/>
              <w:bCs/>
              <w:noProof/>
              <w:color w:val="0000FF"/>
              <w:lang w:val="en-GB" w:eastAsia="en-GB"/>
            </w:rPr>
            <w:drawing>
              <wp:inline distT="0" distB="0" distL="0" distR="0" wp14:anchorId="1C881304" wp14:editId="2B4E34C1">
                <wp:extent cx="6512144" cy="984250"/>
                <wp:effectExtent l="0" t="0" r="3175" b="6350"/>
                <wp:docPr id="2" name="Picture 1" descr="C:\Users\ebroad\AppData\Local\Temp\ADA collateral\Logo\PNG\large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road\AppData\Local\Temp\ADA collateral\Logo\PNG\large_horizontal.png"/>
                        <pic:cNvPicPr>
                          <a:picLocks noChangeAspect="1" noChangeArrowheads="1"/>
                        </pic:cNvPicPr>
                      </pic:nvPicPr>
                      <pic:blipFill>
                        <a:blip r:embed="rId9"/>
                        <a:srcRect/>
                        <a:stretch>
                          <a:fillRect/>
                        </a:stretch>
                      </pic:blipFill>
                      <pic:spPr bwMode="auto">
                        <a:xfrm>
                          <a:off x="0" y="0"/>
                          <a:ext cx="6512416" cy="984291"/>
                        </a:xfrm>
                        <a:prstGeom prst="rect">
                          <a:avLst/>
                        </a:prstGeom>
                        <a:noFill/>
                        <a:ln w="9525">
                          <a:noFill/>
                          <a:miter lim="800000"/>
                          <a:headEnd/>
                          <a:tailEnd/>
                        </a:ln>
                      </pic:spPr>
                    </pic:pic>
                  </a:graphicData>
                </a:graphic>
              </wp:inline>
            </w:drawing>
          </w:r>
        </w:p>
        <w:p w14:paraId="57765828" w14:textId="77777777" w:rsidR="005F1DF7" w:rsidRDefault="005F1DF7" w:rsidP="005F1DF7">
          <w:pPr>
            <w:spacing w:after="0" w:line="240" w:lineRule="auto"/>
            <w:rPr>
              <w:rFonts w:ascii="Tahoma" w:eastAsia="Times New Roman" w:hAnsi="Tahoma" w:cs="Tahoma"/>
              <w:b/>
              <w:bCs/>
              <w:color w:val="000000"/>
              <w:sz w:val="20"/>
              <w:szCs w:val="20"/>
              <w:lang w:eastAsia="en-GB"/>
            </w:rPr>
          </w:pPr>
        </w:p>
        <w:p w14:paraId="7220D4F0" w14:textId="77777777" w:rsidR="005F1DF7" w:rsidRDefault="005F1DF7" w:rsidP="005F1DF7">
          <w:pPr>
            <w:rPr>
              <w:rFonts w:eastAsia="Times New Roman" w:cs="Tahoma"/>
              <w:b/>
              <w:bCs/>
              <w:color w:val="000000"/>
              <w:sz w:val="32"/>
              <w:szCs w:val="32"/>
              <w:lang w:eastAsia="en-GB"/>
            </w:rPr>
          </w:pPr>
        </w:p>
        <w:p w14:paraId="7095F64B" w14:textId="77777777" w:rsidR="005F1DF7" w:rsidRDefault="005F1DF7" w:rsidP="005F1DF7">
          <w:pPr>
            <w:jc w:val="center"/>
            <w:rPr>
              <w:rFonts w:eastAsia="Times New Roman" w:cs="Tahoma"/>
              <w:b/>
              <w:bCs/>
              <w:color w:val="000000"/>
              <w:sz w:val="44"/>
              <w:szCs w:val="44"/>
              <w:lang w:eastAsia="en-GB"/>
            </w:rPr>
          </w:pPr>
        </w:p>
        <w:p w14:paraId="441685DE" w14:textId="77777777" w:rsidR="005F1DF7" w:rsidRDefault="005F1DF7" w:rsidP="005F1DF7">
          <w:pPr>
            <w:jc w:val="center"/>
            <w:rPr>
              <w:rFonts w:eastAsia="Times New Roman" w:cs="Tahoma"/>
              <w:b/>
              <w:bCs/>
              <w:color w:val="000000"/>
              <w:sz w:val="44"/>
              <w:szCs w:val="44"/>
              <w:lang w:eastAsia="en-GB"/>
            </w:rPr>
          </w:pPr>
        </w:p>
        <w:p w14:paraId="2F1A81C5" w14:textId="77777777" w:rsidR="005F1DF7" w:rsidRDefault="005F1DF7" w:rsidP="005F1DF7">
          <w:pPr>
            <w:jc w:val="center"/>
            <w:rPr>
              <w:rFonts w:eastAsia="Times New Roman" w:cs="Tahoma"/>
              <w:b/>
              <w:bCs/>
              <w:color w:val="000000"/>
              <w:sz w:val="44"/>
              <w:szCs w:val="44"/>
              <w:lang w:eastAsia="en-GB"/>
            </w:rPr>
          </w:pPr>
        </w:p>
        <w:p w14:paraId="26F14087" w14:textId="77777777" w:rsidR="005F1DF7" w:rsidRPr="009205D4" w:rsidRDefault="005F1DF7" w:rsidP="005F1DF7">
          <w:pPr>
            <w:jc w:val="center"/>
            <w:rPr>
              <w:rFonts w:eastAsia="Times New Roman" w:cs="Tahoma"/>
              <w:b/>
              <w:bCs/>
              <w:color w:val="000000"/>
              <w:sz w:val="44"/>
              <w:szCs w:val="44"/>
              <w:lang w:eastAsia="en-GB"/>
            </w:rPr>
          </w:pPr>
          <w:r w:rsidRPr="009205D4">
            <w:rPr>
              <w:rFonts w:eastAsia="Times New Roman" w:cs="Tahoma"/>
              <w:b/>
              <w:bCs/>
              <w:color w:val="000000"/>
              <w:sz w:val="44"/>
              <w:szCs w:val="44"/>
              <w:lang w:eastAsia="en-GB"/>
            </w:rPr>
            <w:t>Australian Government Discussion Paper</w:t>
          </w:r>
        </w:p>
        <w:p w14:paraId="10454C58" w14:textId="77777777" w:rsidR="005F1DF7" w:rsidRPr="009205D4" w:rsidRDefault="005F1DF7" w:rsidP="005F1DF7">
          <w:pPr>
            <w:jc w:val="center"/>
            <w:rPr>
              <w:rFonts w:eastAsia="Times New Roman" w:cs="Tahoma"/>
              <w:b/>
              <w:bCs/>
              <w:color w:val="000000"/>
              <w:sz w:val="44"/>
              <w:szCs w:val="44"/>
              <w:lang w:eastAsia="en-GB"/>
            </w:rPr>
          </w:pPr>
          <w:r w:rsidRPr="009205D4">
            <w:rPr>
              <w:rFonts w:eastAsia="Times New Roman" w:cs="Tahoma"/>
              <w:b/>
              <w:bCs/>
              <w:color w:val="000000"/>
              <w:sz w:val="44"/>
              <w:szCs w:val="44"/>
              <w:lang w:eastAsia="en-GB"/>
            </w:rPr>
            <w:t>Online Copyright Infringement</w:t>
          </w:r>
        </w:p>
        <w:p w14:paraId="4D8E8284" w14:textId="77777777" w:rsidR="005F1DF7" w:rsidRPr="009205D4" w:rsidRDefault="005F1DF7" w:rsidP="005F1DF7">
          <w:pPr>
            <w:jc w:val="center"/>
            <w:rPr>
              <w:rFonts w:eastAsia="Times New Roman" w:cs="Tahoma"/>
              <w:b/>
              <w:bCs/>
              <w:color w:val="000000"/>
              <w:sz w:val="44"/>
              <w:szCs w:val="44"/>
              <w:lang w:eastAsia="en-GB"/>
            </w:rPr>
          </w:pPr>
          <w:r w:rsidRPr="009205D4">
            <w:rPr>
              <w:rFonts w:eastAsia="Times New Roman" w:cs="Tahoma"/>
              <w:b/>
              <w:bCs/>
              <w:color w:val="000000"/>
              <w:sz w:val="44"/>
              <w:szCs w:val="44"/>
              <w:lang w:eastAsia="en-GB"/>
            </w:rPr>
            <w:t>Submission from the Australian Digital Alliance</w:t>
          </w:r>
        </w:p>
        <w:p w14:paraId="183ED42A" w14:textId="77777777" w:rsidR="00D82873" w:rsidRDefault="005F1DF7" w:rsidP="005F1DF7">
          <w:pPr>
            <w:spacing w:after="160" w:line="259" w:lineRule="auto"/>
            <w:jc w:val="center"/>
            <w:rPr>
              <w:rFonts w:ascii="Tahoma" w:eastAsia="Times New Roman" w:hAnsi="Tahoma" w:cs="Tahoma"/>
              <w:b/>
              <w:bCs/>
              <w:color w:val="000000"/>
              <w:sz w:val="20"/>
              <w:szCs w:val="20"/>
              <w:lang w:eastAsia="en-GB"/>
            </w:rPr>
          </w:pPr>
          <w:r w:rsidRPr="009205D4">
            <w:rPr>
              <w:rFonts w:eastAsia="Times New Roman" w:cs="Tahoma"/>
              <w:b/>
              <w:bCs/>
              <w:color w:val="000000"/>
              <w:sz w:val="44"/>
              <w:szCs w:val="44"/>
              <w:lang w:eastAsia="en-GB"/>
            </w:rPr>
            <w:t>September 2014</w:t>
          </w:r>
          <w:r>
            <w:rPr>
              <w:rFonts w:ascii="Tahoma" w:eastAsia="Times New Roman" w:hAnsi="Tahoma" w:cs="Tahoma"/>
              <w:b/>
              <w:bCs/>
              <w:color w:val="000000"/>
              <w:sz w:val="20"/>
              <w:szCs w:val="20"/>
              <w:lang w:eastAsia="en-GB"/>
            </w:rPr>
            <w:br w:type="page"/>
          </w:r>
        </w:p>
        <w:p w14:paraId="5C36C579" w14:textId="77777777" w:rsidR="00D82873" w:rsidRDefault="00D82873" w:rsidP="005F1DF7">
          <w:pPr>
            <w:spacing w:after="160" w:line="259" w:lineRule="auto"/>
            <w:jc w:val="center"/>
            <w:rPr>
              <w:rFonts w:ascii="Tahoma" w:eastAsia="Times New Roman" w:hAnsi="Tahoma" w:cs="Tahoma"/>
              <w:b/>
              <w:bCs/>
              <w:color w:val="000000"/>
              <w:sz w:val="20"/>
              <w:szCs w:val="20"/>
              <w:lang w:eastAsia="en-GB"/>
            </w:rPr>
          </w:pPr>
        </w:p>
        <w:p w14:paraId="6F31E4C8" w14:textId="3D5E0D73" w:rsidR="005F1DF7" w:rsidRPr="005D2FAF" w:rsidRDefault="005F1DF7" w:rsidP="005F1DF7">
          <w:pPr>
            <w:spacing w:after="160" w:line="259" w:lineRule="auto"/>
            <w:jc w:val="center"/>
            <w:rPr>
              <w:rFonts w:eastAsia="Times New Roman" w:cs="Tahoma"/>
              <w:b/>
              <w:bCs/>
              <w:color w:val="396BB8" w:themeColor="accent3" w:themeShade="BF"/>
              <w:sz w:val="28"/>
              <w:szCs w:val="28"/>
              <w:lang w:eastAsia="en-GB"/>
            </w:rPr>
          </w:pPr>
          <w:r w:rsidRPr="005D2FAF">
            <w:rPr>
              <w:rFonts w:eastAsia="Times New Roman" w:cs="Tahoma"/>
              <w:b/>
              <w:bCs/>
              <w:color w:val="396BB8" w:themeColor="accent3" w:themeShade="BF"/>
              <w:sz w:val="28"/>
              <w:szCs w:val="28"/>
              <w:lang w:eastAsia="en-GB"/>
            </w:rPr>
            <w:t>Executive Summary</w:t>
          </w:r>
        </w:p>
        <w:p w14:paraId="6822BCE6" w14:textId="087C68CB" w:rsidR="005F1DF7" w:rsidRPr="00D82873" w:rsidRDefault="005F1DF7" w:rsidP="005F1DF7">
          <w:pPr>
            <w:spacing w:after="0" w:line="240" w:lineRule="auto"/>
            <w:rPr>
              <w:rFonts w:ascii="Calibri" w:eastAsia="Times New Roman" w:hAnsi="Calibri" w:cs="Tahoma"/>
              <w:bCs/>
              <w:color w:val="000000"/>
              <w:lang w:eastAsia="en-GB"/>
            </w:rPr>
          </w:pPr>
          <w:r w:rsidRPr="00D82873">
            <w:rPr>
              <w:rFonts w:ascii="Calibri" w:eastAsia="Times New Roman" w:hAnsi="Calibri" w:cs="Tahoma"/>
              <w:bCs/>
              <w:color w:val="000000"/>
              <w:lang w:eastAsia="en-GB"/>
            </w:rPr>
            <w:t xml:space="preserve">The Australian Digital Alliance (ADA) welcomes the opportunity to provide input to the proposals raised in the Australian Government’s </w:t>
          </w:r>
          <w:r w:rsidRPr="00D82873">
            <w:rPr>
              <w:rFonts w:ascii="Calibri" w:eastAsia="Times New Roman" w:hAnsi="Calibri" w:cs="Tahoma"/>
              <w:bCs/>
              <w:i/>
              <w:color w:val="000000"/>
              <w:lang w:eastAsia="en-GB"/>
            </w:rPr>
            <w:t>Online Copyright Infringement</w:t>
          </w:r>
          <w:r w:rsidRPr="00D82873">
            <w:rPr>
              <w:rFonts w:ascii="Calibri" w:eastAsia="Times New Roman" w:hAnsi="Calibri" w:cs="Tahoma"/>
              <w:bCs/>
              <w:color w:val="000000"/>
              <w:lang w:eastAsia="en-GB"/>
            </w:rPr>
            <w:t xml:space="preserve"> Discussion Paper.  </w:t>
          </w:r>
          <w:r w:rsidR="006170C1" w:rsidRPr="00D82873">
            <w:rPr>
              <w:rFonts w:ascii="Calibri" w:eastAsia="Times New Roman" w:hAnsi="Calibri" w:cs="Tahoma"/>
              <w:bCs/>
              <w:color w:val="000000"/>
              <w:lang w:eastAsia="en-GB"/>
            </w:rPr>
            <w:t xml:space="preserve">The Paper proposes significant reforms to Australia’s copyright system that will impact not just on rightsholders and ISPs but also other intermediaries and consumers.  In particular the proposal to ‘extend’ authorisation </w:t>
          </w:r>
          <w:r w:rsidR="00447218">
            <w:rPr>
              <w:rFonts w:ascii="Calibri" w:eastAsia="Times New Roman" w:hAnsi="Calibri" w:cs="Tahoma"/>
              <w:bCs/>
              <w:color w:val="000000"/>
              <w:lang w:eastAsia="en-GB"/>
            </w:rPr>
            <w:t xml:space="preserve">liability will leave intermediaries exposed to greater legal risk and has potential to curtail their activities. </w:t>
          </w:r>
        </w:p>
        <w:p w14:paraId="01FCBF74" w14:textId="77777777" w:rsidR="006170C1" w:rsidRPr="00D82873" w:rsidRDefault="006170C1" w:rsidP="005F1DF7">
          <w:pPr>
            <w:spacing w:after="0" w:line="240" w:lineRule="auto"/>
            <w:rPr>
              <w:rFonts w:ascii="Calibri" w:eastAsia="Times New Roman" w:hAnsi="Calibri" w:cs="Tahoma"/>
              <w:bCs/>
              <w:color w:val="000000"/>
              <w:lang w:eastAsia="en-GB"/>
            </w:rPr>
          </w:pPr>
        </w:p>
        <w:p w14:paraId="15E7341A" w14:textId="4924C643" w:rsidR="006170C1" w:rsidRPr="00D82873" w:rsidRDefault="00A035CC" w:rsidP="005F1DF7">
          <w:pPr>
            <w:spacing w:after="0" w:line="240" w:lineRule="auto"/>
            <w:rPr>
              <w:rFonts w:ascii="Calibri" w:eastAsia="Times New Roman" w:hAnsi="Calibri" w:cs="Tahoma"/>
              <w:bCs/>
              <w:color w:val="000000"/>
              <w:lang w:eastAsia="en-GB"/>
            </w:rPr>
          </w:pPr>
          <w:r w:rsidRPr="00D82873">
            <w:rPr>
              <w:rFonts w:ascii="Calibri" w:eastAsia="Times New Roman" w:hAnsi="Calibri" w:cs="Tahoma"/>
              <w:bCs/>
              <w:color w:val="000000"/>
              <w:lang w:eastAsia="en-GB"/>
            </w:rPr>
            <w:t xml:space="preserve">In </w:t>
          </w:r>
          <w:r w:rsidR="006170C1" w:rsidRPr="00D82873">
            <w:rPr>
              <w:rFonts w:ascii="Calibri" w:eastAsia="Times New Roman" w:hAnsi="Calibri" w:cs="Tahoma"/>
              <w:bCs/>
              <w:color w:val="000000"/>
              <w:lang w:eastAsia="en-GB"/>
            </w:rPr>
            <w:t xml:space="preserve">an attempt to properly </w:t>
          </w:r>
          <w:r w:rsidRPr="00D82873">
            <w:rPr>
              <w:rFonts w:ascii="Calibri" w:eastAsia="Times New Roman" w:hAnsi="Calibri" w:cs="Tahoma"/>
              <w:bCs/>
              <w:color w:val="000000"/>
              <w:lang w:eastAsia="en-GB"/>
            </w:rPr>
            <w:t>asses the scope of the changes in the short period provided for comment, the ADA commission</w:t>
          </w:r>
          <w:r w:rsidR="00DF4275">
            <w:rPr>
              <w:rFonts w:ascii="Calibri" w:eastAsia="Times New Roman" w:hAnsi="Calibri" w:cs="Tahoma"/>
              <w:bCs/>
              <w:color w:val="000000"/>
              <w:lang w:eastAsia="en-GB"/>
            </w:rPr>
            <w:t>ed</w:t>
          </w:r>
          <w:r w:rsidRPr="00D82873">
            <w:rPr>
              <w:rFonts w:ascii="Calibri" w:eastAsia="Times New Roman" w:hAnsi="Calibri" w:cs="Tahoma"/>
              <w:bCs/>
              <w:color w:val="000000"/>
              <w:lang w:eastAsia="en-GB"/>
            </w:rPr>
            <w:t xml:space="preserve"> Dr Rebecca Giblin of Monash University to prepare a paper</w:t>
          </w:r>
          <w:r w:rsidR="005D2FAF" w:rsidRPr="00D82873">
            <w:rPr>
              <w:rStyle w:val="FootnoteReference"/>
              <w:rFonts w:ascii="Calibri" w:eastAsia="Times New Roman" w:hAnsi="Calibri" w:cs="Tahoma"/>
              <w:bCs/>
              <w:color w:val="000000"/>
              <w:lang w:eastAsia="en-GB"/>
            </w:rPr>
            <w:footnoteReference w:id="1"/>
          </w:r>
          <w:r w:rsidRPr="00D82873">
            <w:rPr>
              <w:rFonts w:ascii="Calibri" w:eastAsia="Times New Roman" w:hAnsi="Calibri" w:cs="Tahoma"/>
              <w:bCs/>
              <w:color w:val="000000"/>
              <w:lang w:eastAsia="en-GB"/>
            </w:rPr>
            <w:t xml:space="preserve"> outlining the consequences for non-ISP intermediaries and comparing Australia’s authorisation liability to its main international equivalents.  </w:t>
          </w:r>
        </w:p>
        <w:p w14:paraId="053E7881" w14:textId="77777777" w:rsidR="00A035CC" w:rsidRPr="00D82873" w:rsidRDefault="00A035CC" w:rsidP="005F1DF7">
          <w:pPr>
            <w:spacing w:after="0" w:line="240" w:lineRule="auto"/>
            <w:rPr>
              <w:rFonts w:ascii="Calibri" w:eastAsia="Times New Roman" w:hAnsi="Calibri" w:cs="Tahoma"/>
              <w:bCs/>
              <w:color w:val="000000"/>
              <w:lang w:eastAsia="en-GB"/>
            </w:rPr>
          </w:pPr>
        </w:p>
        <w:p w14:paraId="7BFB567D" w14:textId="496141F6" w:rsidR="00A035CC" w:rsidRPr="00D82873" w:rsidRDefault="00A035CC" w:rsidP="005F1DF7">
          <w:pPr>
            <w:spacing w:after="0" w:line="240" w:lineRule="auto"/>
            <w:rPr>
              <w:rFonts w:ascii="Calibri" w:eastAsia="Times New Roman" w:hAnsi="Calibri" w:cs="Tahoma"/>
              <w:bCs/>
              <w:color w:val="000000"/>
              <w:lang w:eastAsia="en-GB"/>
            </w:rPr>
          </w:pPr>
          <w:r w:rsidRPr="00D82873">
            <w:rPr>
              <w:rFonts w:ascii="Calibri" w:eastAsia="Times New Roman" w:hAnsi="Calibri" w:cs="Tahoma"/>
              <w:bCs/>
              <w:color w:val="000000"/>
              <w:lang w:eastAsia="en-GB"/>
            </w:rPr>
            <w:t>The report is attached to this submission.  It concludes that the extension to authorisation liability will increase uncertainty and decrease flexibility in the law.  Its practical effects for non-ISP intermediaries; such as libraries, universities, schools, cloud services and online platforms; would likely include:</w:t>
          </w:r>
        </w:p>
        <w:p w14:paraId="7A1C35D3" w14:textId="5A61CE91" w:rsidR="00A035CC" w:rsidRPr="00D82873" w:rsidRDefault="00A035CC" w:rsidP="00A035CC">
          <w:pPr>
            <w:pStyle w:val="ListParagraph"/>
            <w:numPr>
              <w:ilvl w:val="0"/>
              <w:numId w:val="28"/>
            </w:numPr>
            <w:spacing w:after="0" w:line="240" w:lineRule="auto"/>
            <w:rPr>
              <w:rFonts w:ascii="Calibri" w:eastAsia="Times New Roman" w:hAnsi="Calibri" w:cs="Tahoma"/>
              <w:bCs/>
              <w:color w:val="000000"/>
              <w:lang w:eastAsia="en-GB"/>
            </w:rPr>
          </w:pPr>
          <w:r w:rsidRPr="00D82873">
            <w:rPr>
              <w:rFonts w:ascii="Calibri" w:eastAsia="Times New Roman" w:hAnsi="Calibri" w:cs="Tahoma"/>
              <w:bCs/>
              <w:color w:val="000000"/>
              <w:lang w:eastAsia="en-GB"/>
            </w:rPr>
            <w:t xml:space="preserve">New obligations to take proactive effects to prevent infringement </w:t>
          </w:r>
        </w:p>
        <w:p w14:paraId="332C6777" w14:textId="4F091963" w:rsidR="00A035CC" w:rsidRPr="00D82873" w:rsidRDefault="00A035CC" w:rsidP="00A035CC">
          <w:pPr>
            <w:pStyle w:val="ListParagraph"/>
            <w:numPr>
              <w:ilvl w:val="0"/>
              <w:numId w:val="28"/>
            </w:numPr>
            <w:spacing w:after="0" w:line="240" w:lineRule="auto"/>
            <w:rPr>
              <w:rFonts w:ascii="Calibri" w:eastAsia="Times New Roman" w:hAnsi="Calibri" w:cs="Tahoma"/>
              <w:bCs/>
              <w:color w:val="000000"/>
              <w:lang w:eastAsia="en-GB"/>
            </w:rPr>
          </w:pPr>
          <w:r w:rsidRPr="00D82873">
            <w:rPr>
              <w:rFonts w:ascii="Calibri" w:eastAsia="Times New Roman" w:hAnsi="Calibri" w:cs="Tahoma"/>
              <w:bCs/>
              <w:color w:val="000000"/>
              <w:lang w:eastAsia="en-GB"/>
            </w:rPr>
            <w:t>New pressure to enter into private enforcement deals</w:t>
          </w:r>
        </w:p>
        <w:p w14:paraId="498A05B0" w14:textId="7DFE96CC" w:rsidR="00A035CC" w:rsidRPr="00D82873" w:rsidRDefault="00A035CC" w:rsidP="00A035CC">
          <w:pPr>
            <w:pStyle w:val="ListParagraph"/>
            <w:numPr>
              <w:ilvl w:val="0"/>
              <w:numId w:val="28"/>
            </w:numPr>
            <w:spacing w:after="0" w:line="240" w:lineRule="auto"/>
            <w:rPr>
              <w:rFonts w:ascii="Calibri" w:eastAsia="Times New Roman" w:hAnsi="Calibri" w:cs="Tahoma"/>
              <w:bCs/>
              <w:color w:val="000000"/>
              <w:lang w:eastAsia="en-GB"/>
            </w:rPr>
          </w:pPr>
          <w:r w:rsidRPr="00D82873">
            <w:rPr>
              <w:rFonts w:ascii="Calibri" w:eastAsia="Times New Roman" w:hAnsi="Calibri" w:cs="Tahoma"/>
              <w:bCs/>
              <w:color w:val="000000"/>
              <w:lang w:eastAsia="en-GB"/>
            </w:rPr>
            <w:t xml:space="preserve">Increased need to rely on safe harbours </w:t>
          </w:r>
        </w:p>
        <w:p w14:paraId="2B1FCCBF" w14:textId="3AF03931" w:rsidR="00A035CC" w:rsidRPr="00D82873" w:rsidRDefault="00A035CC" w:rsidP="00A035CC">
          <w:pPr>
            <w:pStyle w:val="ListParagraph"/>
            <w:numPr>
              <w:ilvl w:val="0"/>
              <w:numId w:val="28"/>
            </w:numPr>
            <w:spacing w:after="0" w:line="240" w:lineRule="auto"/>
            <w:rPr>
              <w:rFonts w:ascii="Calibri" w:eastAsia="Times New Roman" w:hAnsi="Calibri" w:cs="Tahoma"/>
              <w:bCs/>
              <w:color w:val="000000"/>
              <w:lang w:eastAsia="en-GB"/>
            </w:rPr>
          </w:pPr>
          <w:r w:rsidRPr="00D82873">
            <w:rPr>
              <w:rFonts w:ascii="Calibri" w:eastAsia="Times New Roman" w:hAnsi="Calibri" w:cs="Tahoma"/>
              <w:bCs/>
              <w:color w:val="000000"/>
              <w:lang w:eastAsia="en-GB"/>
            </w:rPr>
            <w:t>Increased red tape and regulation, decreased global competitiveness</w:t>
          </w:r>
        </w:p>
        <w:p w14:paraId="184C0814" w14:textId="77777777" w:rsidR="00A035CC" w:rsidRPr="00D82873" w:rsidRDefault="00A035CC" w:rsidP="00A035CC">
          <w:pPr>
            <w:spacing w:after="0" w:line="240" w:lineRule="auto"/>
            <w:rPr>
              <w:rFonts w:ascii="Calibri" w:eastAsia="Times New Roman" w:hAnsi="Calibri" w:cs="Tahoma"/>
              <w:bCs/>
              <w:color w:val="000000"/>
              <w:lang w:eastAsia="en-GB"/>
            </w:rPr>
          </w:pPr>
        </w:p>
        <w:p w14:paraId="2AEC0107" w14:textId="331818F7" w:rsidR="00A035CC" w:rsidRPr="00D82873" w:rsidRDefault="00A035CC" w:rsidP="00A035CC">
          <w:pPr>
            <w:spacing w:after="0" w:line="240" w:lineRule="auto"/>
            <w:rPr>
              <w:rFonts w:ascii="Calibri" w:eastAsia="Times New Roman" w:hAnsi="Calibri" w:cs="Tahoma"/>
              <w:bCs/>
              <w:color w:val="000000"/>
              <w:lang w:eastAsia="en-GB"/>
            </w:rPr>
          </w:pPr>
          <w:r w:rsidRPr="00D82873">
            <w:rPr>
              <w:rFonts w:ascii="Calibri" w:eastAsia="Times New Roman" w:hAnsi="Calibri" w:cs="Tahoma"/>
              <w:bCs/>
              <w:color w:val="000000"/>
              <w:lang w:eastAsia="en-GB"/>
            </w:rPr>
            <w:t xml:space="preserve">The paper also compares Australia’s current authorisation liability to </w:t>
          </w:r>
          <w:r w:rsidR="00A04E60" w:rsidRPr="00D82873">
            <w:rPr>
              <w:rFonts w:ascii="Calibri" w:eastAsia="Times New Roman" w:hAnsi="Calibri" w:cs="Tahoma"/>
              <w:bCs/>
              <w:color w:val="000000"/>
              <w:lang w:eastAsia="en-GB"/>
            </w:rPr>
            <w:t xml:space="preserve">equivalent overseas doctrines and concludes that Australia’s current law is as strict or stricter as that in force overseas.  </w:t>
          </w:r>
        </w:p>
        <w:p w14:paraId="058DFC63" w14:textId="77777777" w:rsidR="00A04E60" w:rsidRPr="00D82873" w:rsidRDefault="00A04E60" w:rsidP="00A035CC">
          <w:pPr>
            <w:spacing w:after="0" w:line="240" w:lineRule="auto"/>
            <w:rPr>
              <w:rFonts w:ascii="Calibri" w:eastAsia="Times New Roman" w:hAnsi="Calibri" w:cs="Tahoma"/>
              <w:bCs/>
              <w:color w:val="000000"/>
              <w:lang w:eastAsia="en-GB"/>
            </w:rPr>
          </w:pPr>
        </w:p>
        <w:p w14:paraId="57B63915" w14:textId="77777777" w:rsidR="00A04E60" w:rsidRPr="00D82873" w:rsidRDefault="00A04E60" w:rsidP="00A035CC">
          <w:pPr>
            <w:spacing w:after="0" w:line="240" w:lineRule="auto"/>
            <w:rPr>
              <w:rFonts w:ascii="Calibri" w:eastAsia="Times New Roman" w:hAnsi="Calibri" w:cs="Tahoma"/>
              <w:bCs/>
              <w:color w:val="000000"/>
              <w:lang w:eastAsia="en-GB"/>
            </w:rPr>
          </w:pPr>
          <w:r w:rsidRPr="00D82873">
            <w:rPr>
              <w:rFonts w:ascii="Calibri" w:eastAsia="Times New Roman" w:hAnsi="Calibri" w:cs="Tahoma"/>
              <w:bCs/>
              <w:color w:val="000000"/>
              <w:lang w:eastAsia="en-GB"/>
            </w:rPr>
            <w:t xml:space="preserve">In light of the report’s findings the ADA cautions against any extension of authorisation liability. It would be a disproportionate approach which risks serious consequences for a wide range of intermediaries not the direct target of the changes.  </w:t>
          </w:r>
        </w:p>
        <w:p w14:paraId="231ECE76" w14:textId="77777777" w:rsidR="00A04E60" w:rsidRPr="00D82873" w:rsidRDefault="00A04E60" w:rsidP="00A035CC">
          <w:pPr>
            <w:spacing w:after="0" w:line="240" w:lineRule="auto"/>
            <w:rPr>
              <w:rFonts w:ascii="Calibri" w:eastAsia="Times New Roman" w:hAnsi="Calibri" w:cs="Tahoma"/>
              <w:bCs/>
              <w:color w:val="000000"/>
              <w:lang w:eastAsia="en-GB"/>
            </w:rPr>
          </w:pPr>
        </w:p>
        <w:p w14:paraId="54277A79" w14:textId="6505D04E" w:rsidR="003E51AF" w:rsidRPr="00D82873" w:rsidRDefault="003E51AF" w:rsidP="00A035CC">
          <w:pPr>
            <w:spacing w:after="0" w:line="240" w:lineRule="auto"/>
            <w:rPr>
              <w:rFonts w:ascii="Calibri" w:eastAsia="Times New Roman" w:hAnsi="Calibri" w:cs="Tahoma"/>
              <w:bCs/>
              <w:color w:val="000000"/>
              <w:lang w:eastAsia="en-GB"/>
            </w:rPr>
          </w:pPr>
          <w:r w:rsidRPr="00D82873">
            <w:rPr>
              <w:rFonts w:ascii="Calibri" w:eastAsia="Times New Roman" w:hAnsi="Calibri" w:cs="Tahoma"/>
              <w:bCs/>
              <w:color w:val="000000"/>
              <w:lang w:eastAsia="en-GB"/>
            </w:rPr>
            <w:t>The ADA has further concerns about the proposition to facilitate website blocking, and would like to suggest some further safeguards around protections of legitimate communicati</w:t>
          </w:r>
          <w:r w:rsidR="00DF08F2">
            <w:rPr>
              <w:rFonts w:ascii="Calibri" w:eastAsia="Times New Roman" w:hAnsi="Calibri" w:cs="Tahoma"/>
              <w:bCs/>
              <w:color w:val="000000"/>
              <w:lang w:eastAsia="en-GB"/>
            </w:rPr>
            <w:t>ons and transparency. We</w:t>
          </w:r>
          <w:r w:rsidRPr="00D82873">
            <w:rPr>
              <w:rFonts w:ascii="Calibri" w:eastAsia="Times New Roman" w:hAnsi="Calibri" w:cs="Tahoma"/>
              <w:bCs/>
              <w:color w:val="000000"/>
              <w:lang w:eastAsia="en-GB"/>
            </w:rPr>
            <w:t xml:space="preserve"> are supportive of the proposal to extend the safe harbours to cover other intermediaries, </w:t>
          </w:r>
          <w:r w:rsidR="00B821C3" w:rsidRPr="00D82873">
            <w:rPr>
              <w:rFonts w:ascii="Calibri" w:eastAsia="Times New Roman" w:hAnsi="Calibri" w:cs="Tahoma"/>
              <w:bCs/>
              <w:color w:val="000000"/>
              <w:lang w:eastAsia="en-GB"/>
            </w:rPr>
            <w:t xml:space="preserve">a move that is long overdue and that will place us on an equal footing with the USA in this area.  </w:t>
          </w:r>
        </w:p>
        <w:p w14:paraId="0F4BEBC6" w14:textId="77777777" w:rsidR="00B821C3" w:rsidRPr="00D82873" w:rsidRDefault="00B821C3" w:rsidP="00A035CC">
          <w:pPr>
            <w:spacing w:after="0" w:line="240" w:lineRule="auto"/>
            <w:rPr>
              <w:rFonts w:ascii="Calibri" w:eastAsia="Times New Roman" w:hAnsi="Calibri" w:cs="Tahoma"/>
              <w:bCs/>
              <w:color w:val="000000"/>
              <w:lang w:eastAsia="en-GB"/>
            </w:rPr>
          </w:pPr>
        </w:p>
        <w:p w14:paraId="537DA5E6" w14:textId="15180A04" w:rsidR="00B821C3" w:rsidRPr="00D82873" w:rsidRDefault="00B821C3" w:rsidP="00A035CC">
          <w:pPr>
            <w:spacing w:after="0" w:line="240" w:lineRule="auto"/>
            <w:rPr>
              <w:rFonts w:ascii="Calibri" w:eastAsia="Times New Roman" w:hAnsi="Calibri" w:cs="Tahoma"/>
              <w:bCs/>
              <w:color w:val="000000"/>
              <w:lang w:eastAsia="en-GB"/>
            </w:rPr>
          </w:pPr>
          <w:r w:rsidRPr="00D82873">
            <w:rPr>
              <w:rFonts w:ascii="Calibri" w:eastAsia="Times New Roman" w:hAnsi="Calibri" w:cs="Tahoma"/>
              <w:bCs/>
              <w:color w:val="000000"/>
              <w:lang w:eastAsia="en-GB"/>
            </w:rPr>
            <w:t xml:space="preserve">The issue of piracy should be tackled with sound, evidence based policy.  The problem is not solely a legal problem, it is also a pricing and availability problem.  </w:t>
          </w:r>
          <w:r w:rsidR="00DF08F2" w:rsidRPr="00D82873">
            <w:rPr>
              <w:rFonts w:ascii="Calibri" w:eastAsia="Times New Roman" w:hAnsi="Calibri" w:cs="Tahoma"/>
              <w:bCs/>
              <w:color w:val="000000"/>
              <w:lang w:eastAsia="en-GB"/>
            </w:rPr>
            <w:t xml:space="preserve">Where possible it is better to avoid over-regulation when commercial arrangements or market mechanisms would act more efficiently. </w:t>
          </w:r>
          <w:r w:rsidRPr="00D82873">
            <w:rPr>
              <w:rFonts w:ascii="Calibri" w:eastAsia="Times New Roman" w:hAnsi="Calibri" w:cs="Tahoma"/>
              <w:bCs/>
              <w:color w:val="000000"/>
              <w:lang w:eastAsia="en-GB"/>
            </w:rPr>
            <w:t xml:space="preserve">As </w:t>
          </w:r>
          <w:r w:rsidR="00DF08F2">
            <w:rPr>
              <w:rFonts w:ascii="Calibri" w:eastAsia="Times New Roman" w:hAnsi="Calibri" w:cs="Tahoma"/>
              <w:bCs/>
              <w:color w:val="000000"/>
              <w:lang w:eastAsia="en-GB"/>
            </w:rPr>
            <w:t>indicated in the paper</w:t>
          </w:r>
          <w:r w:rsidRPr="00D82873">
            <w:rPr>
              <w:rFonts w:ascii="Calibri" w:eastAsia="Times New Roman" w:hAnsi="Calibri" w:cs="Tahoma"/>
              <w:bCs/>
              <w:color w:val="000000"/>
              <w:lang w:eastAsia="en-GB"/>
            </w:rPr>
            <w:t xml:space="preserve">: </w:t>
          </w:r>
        </w:p>
        <w:p w14:paraId="7D454552" w14:textId="597F078F" w:rsidR="00B821C3" w:rsidRPr="00D82873" w:rsidRDefault="00B821C3" w:rsidP="00B821C3">
          <w:pPr>
            <w:spacing w:after="0" w:line="240" w:lineRule="auto"/>
            <w:ind w:left="720"/>
            <w:rPr>
              <w:rFonts w:ascii="Calibri" w:hAnsi="Calibri"/>
            </w:rPr>
          </w:pPr>
          <w:r w:rsidRPr="00D82873">
            <w:rPr>
              <w:rFonts w:ascii="Calibri" w:hAnsi="Calibri"/>
            </w:rPr>
            <w:t>The Government is looking to industry to reach agreement on appropriate industry schemes or commercial arrangements on what would constitute ‘reasonable steps’ to be taken by ISPs.</w:t>
          </w:r>
          <w:r w:rsidRPr="00D82873">
            <w:rPr>
              <w:rStyle w:val="FootnoteReference"/>
              <w:rFonts w:ascii="Calibri" w:hAnsi="Calibri"/>
            </w:rPr>
            <w:footnoteReference w:id="2"/>
          </w:r>
          <w:r w:rsidRPr="00D82873">
            <w:rPr>
              <w:rFonts w:ascii="Calibri" w:hAnsi="Calibri"/>
            </w:rPr>
            <w:t> </w:t>
          </w:r>
        </w:p>
        <w:p w14:paraId="6095FA27" w14:textId="4C64A4EA" w:rsidR="00B821C3" w:rsidRPr="00D82873" w:rsidRDefault="00B821C3" w:rsidP="00B821C3">
          <w:pPr>
            <w:spacing w:after="0" w:line="240" w:lineRule="auto"/>
            <w:rPr>
              <w:rFonts w:ascii="Calibri" w:eastAsia="Times New Roman" w:hAnsi="Calibri" w:cs="Tahoma"/>
              <w:bCs/>
              <w:color w:val="000000"/>
              <w:lang w:eastAsia="en-GB"/>
            </w:rPr>
          </w:pPr>
          <w:r w:rsidRPr="00D82873">
            <w:rPr>
              <w:rFonts w:ascii="Calibri" w:eastAsia="Times New Roman" w:hAnsi="Calibri" w:cs="Tahoma"/>
              <w:bCs/>
              <w:color w:val="000000"/>
              <w:lang w:eastAsia="en-GB"/>
            </w:rPr>
            <w:t xml:space="preserve">One concern is that the proposals in this paper will not facilitate the cooperation from rightsholders, intermediaries and consumers. </w:t>
          </w:r>
        </w:p>
        <w:p w14:paraId="2B36638E" w14:textId="77777777" w:rsidR="00B821C3" w:rsidRPr="00D82873" w:rsidRDefault="00B821C3" w:rsidP="00A035CC">
          <w:pPr>
            <w:spacing w:after="0" w:line="240" w:lineRule="auto"/>
            <w:rPr>
              <w:rFonts w:ascii="Calibri" w:eastAsia="Times New Roman" w:hAnsi="Calibri" w:cs="Tahoma"/>
              <w:bCs/>
              <w:color w:val="000000"/>
              <w:lang w:eastAsia="en-GB"/>
            </w:rPr>
          </w:pPr>
        </w:p>
        <w:p w14:paraId="7E83F0E4" w14:textId="012C9896" w:rsidR="00B821C3" w:rsidRPr="00D82873" w:rsidRDefault="00B821C3" w:rsidP="00A035CC">
          <w:pPr>
            <w:spacing w:after="0" w:line="240" w:lineRule="auto"/>
            <w:rPr>
              <w:rFonts w:ascii="Calibri" w:eastAsia="Times New Roman" w:hAnsi="Calibri" w:cs="Tahoma"/>
              <w:bCs/>
              <w:color w:val="000000"/>
              <w:lang w:eastAsia="en-GB"/>
            </w:rPr>
          </w:pPr>
          <w:r w:rsidRPr="00D82873">
            <w:rPr>
              <w:rFonts w:ascii="Calibri" w:eastAsia="Times New Roman" w:hAnsi="Calibri" w:cs="Tahoma"/>
              <w:bCs/>
              <w:color w:val="000000"/>
              <w:lang w:eastAsia="en-GB"/>
            </w:rPr>
            <w:t>Finally, we are disappointed that we again have a focus on enforcement of a system that is increasingly out of date, inefficient and impractical.  With numerous outstanding recommendations</w:t>
          </w:r>
          <w:r w:rsidRPr="00D82873">
            <w:rPr>
              <w:rStyle w:val="FootnoteReference"/>
              <w:rFonts w:ascii="Calibri" w:eastAsia="Times New Roman" w:hAnsi="Calibri" w:cs="Tahoma"/>
              <w:bCs/>
              <w:color w:val="000000"/>
              <w:lang w:eastAsia="en-GB"/>
            </w:rPr>
            <w:footnoteReference w:id="3"/>
          </w:r>
          <w:r w:rsidRPr="00D82873">
            <w:rPr>
              <w:rFonts w:ascii="Calibri" w:eastAsia="Times New Roman" w:hAnsi="Calibri" w:cs="Tahoma"/>
              <w:bCs/>
              <w:color w:val="000000"/>
              <w:lang w:eastAsia="en-GB"/>
            </w:rPr>
            <w:t xml:space="preserve"> and a commitment from the Attorney-General to a complete overhaul of the </w:t>
          </w:r>
          <w:r w:rsidRPr="00D82873">
            <w:rPr>
              <w:rFonts w:ascii="Calibri" w:eastAsia="Times New Roman" w:hAnsi="Calibri" w:cs="Tahoma"/>
              <w:bCs/>
              <w:i/>
              <w:color w:val="000000"/>
              <w:lang w:eastAsia="en-GB"/>
            </w:rPr>
            <w:t xml:space="preserve">Copyright Act 1968 </w:t>
          </w:r>
          <w:r w:rsidRPr="00D82873">
            <w:rPr>
              <w:rFonts w:ascii="Calibri" w:eastAsia="Times New Roman" w:hAnsi="Calibri" w:cs="Tahoma"/>
              <w:bCs/>
              <w:color w:val="000000"/>
              <w:lang w:eastAsia="en-GB"/>
            </w:rPr>
            <w:t xml:space="preserve">(the Act) it would be preferable to tackle these in tandem and avoid the ‘patching’ effect that has helped the Act to become so unwieldy. </w:t>
          </w:r>
        </w:p>
        <w:p w14:paraId="6CFACC2A" w14:textId="77777777" w:rsidR="00B821C3" w:rsidRPr="00D82873" w:rsidRDefault="00B821C3" w:rsidP="00A035CC">
          <w:pPr>
            <w:spacing w:after="0" w:line="240" w:lineRule="auto"/>
            <w:rPr>
              <w:rFonts w:ascii="Calibri" w:eastAsia="Times New Roman" w:hAnsi="Calibri" w:cs="Tahoma"/>
              <w:bCs/>
              <w:color w:val="000000"/>
              <w:lang w:eastAsia="en-GB"/>
            </w:rPr>
          </w:pPr>
        </w:p>
        <w:p w14:paraId="516F811E" w14:textId="77777777" w:rsidR="005F1DF7" w:rsidRDefault="005F1DF7" w:rsidP="005F1DF7">
          <w:pPr>
            <w:spacing w:after="0" w:line="240" w:lineRule="auto"/>
            <w:rPr>
              <w:rFonts w:ascii="Calibri" w:eastAsia="Times New Roman" w:hAnsi="Calibri" w:cs="Tahoma"/>
              <w:bCs/>
              <w:color w:val="000000"/>
              <w:lang w:eastAsia="en-GB"/>
            </w:rPr>
          </w:pPr>
        </w:p>
        <w:p w14:paraId="3DB93058" w14:textId="77777777" w:rsidR="005F1DF7" w:rsidRPr="00D82873" w:rsidRDefault="005F1DF7" w:rsidP="005F1DF7">
          <w:pPr>
            <w:spacing w:after="0" w:line="240" w:lineRule="auto"/>
            <w:rPr>
              <w:rFonts w:eastAsia="Times New Roman" w:cs="Tahoma"/>
              <w:b/>
              <w:bCs/>
              <w:color w:val="000000"/>
              <w:lang w:eastAsia="en-GB"/>
            </w:rPr>
          </w:pPr>
          <w:r w:rsidRPr="00D82873">
            <w:rPr>
              <w:rFonts w:eastAsia="Times New Roman" w:cs="Tahoma"/>
              <w:b/>
              <w:bCs/>
              <w:color w:val="396BB8" w:themeColor="accent3" w:themeShade="BF"/>
              <w:lang w:eastAsia="en-GB"/>
            </w:rPr>
            <w:t xml:space="preserve">About the Australian Digital Alliance </w:t>
          </w:r>
        </w:p>
        <w:p w14:paraId="04806EA6" w14:textId="77777777" w:rsidR="005F1DF7" w:rsidRPr="002462B4" w:rsidRDefault="005F1DF7" w:rsidP="005F1DF7">
          <w:pPr>
            <w:rPr>
              <w:rFonts w:ascii="Calibri" w:hAnsi="Calibri" w:cstheme="minorHAnsi"/>
            </w:rPr>
          </w:pPr>
          <w:r w:rsidRPr="002462B4">
            <w:rPr>
              <w:rFonts w:ascii="Calibri" w:hAnsi="Calibri" w:cstheme="minorHAnsi"/>
            </w:rPr>
            <w:t xml:space="preserve">The ADA is a non-profit coalition of public and private sector interests formed to promote balanced copyright law and provide an effective voice for a public interest perspective in the copyright debate. ADA members include universities, schools, consumers, galleries, museums, IT companies, libraries, archives and charitable organisations. </w:t>
          </w:r>
        </w:p>
        <w:p w14:paraId="4E217F24" w14:textId="77777777" w:rsidR="005F1DF7" w:rsidRPr="002462B4" w:rsidRDefault="005F1DF7" w:rsidP="005F1DF7">
          <w:pPr>
            <w:rPr>
              <w:rFonts w:ascii="Calibri" w:hAnsi="Calibri" w:cstheme="minorHAnsi"/>
            </w:rPr>
          </w:pPr>
          <w:r w:rsidRPr="002462B4">
            <w:rPr>
              <w:rFonts w:ascii="Calibri" w:hAnsi="Calibri" w:cstheme="minorHAnsi"/>
            </w:rPr>
            <w:t xml:space="preserve">Whilst the breadth of ADA membership spans various sectors, all members are united in their support of copyright law that appropriately balances the interests of rights holders with the interests of users of copyright material. </w:t>
          </w:r>
        </w:p>
        <w:p w14:paraId="761761B0" w14:textId="77777777" w:rsidR="005F1DF7" w:rsidRPr="009205D4" w:rsidRDefault="005F1DF7" w:rsidP="005F1DF7">
          <w:pPr>
            <w:spacing w:after="0" w:line="240" w:lineRule="auto"/>
            <w:rPr>
              <w:rFonts w:eastAsia="Times New Roman" w:cs="Tahoma"/>
              <w:b/>
              <w:bCs/>
              <w:color w:val="000000"/>
              <w:sz w:val="20"/>
              <w:szCs w:val="20"/>
              <w:lang w:eastAsia="en-GB"/>
            </w:rPr>
          </w:pPr>
        </w:p>
        <w:p w14:paraId="7A0BA66D" w14:textId="77777777" w:rsidR="005F1DF7" w:rsidRPr="009205D4" w:rsidRDefault="005F1DF7" w:rsidP="005F1DF7">
          <w:pPr>
            <w:spacing w:after="0" w:line="240" w:lineRule="auto"/>
            <w:rPr>
              <w:rFonts w:eastAsia="Times New Roman" w:cs="Tahoma"/>
              <w:b/>
              <w:bCs/>
              <w:color w:val="000000"/>
              <w:sz w:val="20"/>
              <w:szCs w:val="20"/>
              <w:lang w:eastAsia="en-GB"/>
            </w:rPr>
          </w:pPr>
        </w:p>
        <w:p w14:paraId="2BFCAFCA" w14:textId="77777777" w:rsidR="005F1DF7" w:rsidRPr="005D2FAF" w:rsidRDefault="005F1DF7" w:rsidP="005D2FAF">
          <w:pPr>
            <w:spacing w:after="0" w:line="240" w:lineRule="auto"/>
            <w:jc w:val="center"/>
            <w:rPr>
              <w:rFonts w:eastAsia="Times New Roman" w:cs="Tahoma"/>
              <w:color w:val="396BB8" w:themeColor="accent3" w:themeShade="BF"/>
              <w:sz w:val="28"/>
              <w:szCs w:val="28"/>
              <w:lang w:eastAsia="en-GB"/>
            </w:rPr>
          </w:pPr>
          <w:r w:rsidRPr="005D2FAF">
            <w:rPr>
              <w:rFonts w:eastAsia="Times New Roman" w:cs="Tahoma"/>
              <w:b/>
              <w:bCs/>
              <w:color w:val="396BB8" w:themeColor="accent3" w:themeShade="BF"/>
              <w:sz w:val="28"/>
              <w:szCs w:val="28"/>
              <w:lang w:eastAsia="en-GB"/>
            </w:rPr>
            <w:t>Extension of authorisation liability</w:t>
          </w:r>
        </w:p>
        <w:p w14:paraId="235B29AC" w14:textId="38DCCF0C" w:rsidR="005D2FAF" w:rsidRPr="002462B4" w:rsidRDefault="00A04E60" w:rsidP="005F1DF7">
          <w:pPr>
            <w:spacing w:after="0" w:line="240" w:lineRule="auto"/>
            <w:rPr>
              <w:rFonts w:ascii="Calibri" w:eastAsia="Times New Roman" w:hAnsi="Calibri" w:cs="Tahoma"/>
              <w:b/>
              <w:bCs/>
              <w:color w:val="000000"/>
              <w:lang w:eastAsia="en-GB"/>
            </w:rPr>
          </w:pPr>
          <w:r w:rsidRPr="002462B4">
            <w:rPr>
              <w:rFonts w:ascii="Calibri" w:eastAsia="Times New Roman" w:hAnsi="Calibri" w:cs="Tahoma"/>
              <w:bCs/>
              <w:color w:val="000000"/>
              <w:lang w:eastAsia="en-GB"/>
            </w:rPr>
            <w:t>Authorisation liability at its core defines the situations in which it will be appropriate to hold someone liable for the copyright infringements of another.  The discussion paper focuses on the liability of one group of intermediaries, ISPs, with</w:t>
          </w:r>
          <w:r w:rsidR="002F21DC" w:rsidRPr="002462B4">
            <w:rPr>
              <w:rFonts w:ascii="Calibri" w:eastAsia="Times New Roman" w:hAnsi="Calibri" w:cs="Tahoma"/>
              <w:bCs/>
              <w:color w:val="000000"/>
              <w:lang w:eastAsia="en-GB"/>
            </w:rPr>
            <w:t xml:space="preserve"> the stated intention of overturning the outcome in the iiNet</w:t>
          </w:r>
          <w:r w:rsidR="002F21DC" w:rsidRPr="002462B4">
            <w:rPr>
              <w:rStyle w:val="FootnoteReference"/>
              <w:rFonts w:ascii="Calibri" w:eastAsia="Times New Roman" w:hAnsi="Calibri" w:cs="Tahoma"/>
              <w:bCs/>
              <w:color w:val="000000"/>
              <w:lang w:eastAsia="en-GB"/>
            </w:rPr>
            <w:footnoteReference w:id="4"/>
          </w:r>
          <w:r w:rsidR="002F21DC" w:rsidRPr="002462B4">
            <w:rPr>
              <w:rFonts w:ascii="Calibri" w:eastAsia="Times New Roman" w:hAnsi="Calibri" w:cs="Tahoma"/>
              <w:bCs/>
              <w:color w:val="000000"/>
              <w:lang w:eastAsia="en-GB"/>
            </w:rPr>
            <w:t xml:space="preserve"> case</w:t>
          </w:r>
          <w:r w:rsidR="005D2FAF" w:rsidRPr="002462B4">
            <w:rPr>
              <w:rFonts w:ascii="Calibri" w:eastAsia="Times New Roman" w:hAnsi="Calibri" w:cs="Tahoma"/>
              <w:bCs/>
              <w:color w:val="000000"/>
              <w:lang w:eastAsia="en-GB"/>
            </w:rPr>
            <w:t>.  However changes to this framework would affect everyone, a particularly risky propositions for intermediaries such as libraries, online platforms, universities, cloud providers, and schools</w:t>
          </w:r>
          <w:r w:rsidR="002F21DC" w:rsidRPr="002462B4">
            <w:rPr>
              <w:rFonts w:ascii="Calibri" w:eastAsia="Times New Roman" w:hAnsi="Calibri" w:cs="Tahoma"/>
              <w:bCs/>
              <w:color w:val="000000"/>
              <w:lang w:eastAsia="en-GB"/>
            </w:rPr>
            <w:t>.</w:t>
          </w:r>
          <w:r w:rsidRPr="002462B4">
            <w:rPr>
              <w:rFonts w:ascii="Calibri" w:eastAsia="Times New Roman" w:hAnsi="Calibri" w:cs="Tahoma"/>
              <w:b/>
              <w:bCs/>
              <w:color w:val="000000"/>
              <w:lang w:eastAsia="en-GB"/>
            </w:rPr>
            <w:t xml:space="preserve"> </w:t>
          </w:r>
        </w:p>
        <w:p w14:paraId="609A1288" w14:textId="77777777" w:rsidR="005D2FAF" w:rsidRPr="002462B4" w:rsidRDefault="005D2FAF" w:rsidP="005F1DF7">
          <w:pPr>
            <w:spacing w:after="0" w:line="240" w:lineRule="auto"/>
            <w:rPr>
              <w:rFonts w:ascii="Calibri" w:eastAsia="Times New Roman" w:hAnsi="Calibri" w:cs="Tahoma"/>
              <w:b/>
              <w:bCs/>
              <w:color w:val="000000"/>
              <w:lang w:eastAsia="en-GB"/>
            </w:rPr>
          </w:pPr>
        </w:p>
        <w:p w14:paraId="11C5CF24" w14:textId="5D320760" w:rsidR="005D2FAF" w:rsidRPr="002462B4" w:rsidRDefault="005D2FAF" w:rsidP="005F1DF7">
          <w:pPr>
            <w:spacing w:after="0" w:line="240" w:lineRule="auto"/>
            <w:rPr>
              <w:rFonts w:ascii="Calibri" w:eastAsia="Times New Roman" w:hAnsi="Calibri" w:cs="Tahoma"/>
              <w:bCs/>
              <w:color w:val="000000"/>
              <w:lang w:eastAsia="en-GB"/>
            </w:rPr>
          </w:pPr>
          <w:r w:rsidRPr="002462B4">
            <w:rPr>
              <w:rFonts w:ascii="Calibri" w:eastAsia="Times New Roman" w:hAnsi="Calibri" w:cs="Tahoma"/>
              <w:bCs/>
              <w:color w:val="000000"/>
              <w:lang w:eastAsia="en-GB"/>
            </w:rPr>
            <w:t>In her research paper, Dr Giblin outlines activities that would face increased legal risk with uncertain requirements for what would be considered ‘reasonable steps’.  These are explored in depth in the paper,</w:t>
          </w:r>
          <w:r w:rsidRPr="002462B4">
            <w:rPr>
              <w:rStyle w:val="FootnoteReference"/>
              <w:rFonts w:ascii="Calibri" w:eastAsia="Times New Roman" w:hAnsi="Calibri" w:cs="Tahoma"/>
              <w:bCs/>
              <w:color w:val="000000"/>
              <w:lang w:eastAsia="en-GB"/>
            </w:rPr>
            <w:footnoteReference w:id="5"/>
          </w:r>
          <w:r w:rsidRPr="002462B4">
            <w:rPr>
              <w:rFonts w:ascii="Calibri" w:eastAsia="Times New Roman" w:hAnsi="Calibri" w:cs="Tahoma"/>
              <w:bCs/>
              <w:color w:val="000000"/>
              <w:lang w:eastAsia="en-GB"/>
            </w:rPr>
            <w:t xml:space="preserve"> but include:</w:t>
          </w:r>
        </w:p>
        <w:p w14:paraId="5FCCD9BF" w14:textId="3946B201" w:rsidR="005D2FAF" w:rsidRPr="002462B4" w:rsidRDefault="005D2FAF" w:rsidP="005D2FAF">
          <w:pPr>
            <w:pStyle w:val="ListParagraph"/>
            <w:numPr>
              <w:ilvl w:val="0"/>
              <w:numId w:val="29"/>
            </w:numPr>
            <w:spacing w:after="0" w:line="240" w:lineRule="auto"/>
            <w:rPr>
              <w:rFonts w:ascii="Calibri" w:eastAsia="Times New Roman" w:hAnsi="Calibri" w:cs="Tahoma"/>
              <w:bCs/>
              <w:color w:val="000000"/>
              <w:lang w:eastAsia="en-GB"/>
            </w:rPr>
          </w:pPr>
          <w:r w:rsidRPr="002462B4">
            <w:rPr>
              <w:rFonts w:ascii="Calibri" w:eastAsia="Times New Roman" w:hAnsi="Calibri" w:cs="Tahoma"/>
              <w:bCs/>
              <w:color w:val="000000"/>
              <w:lang w:eastAsia="en-GB"/>
            </w:rPr>
            <w:t>Libraries whose patrons carry mobile phones equipped with cameras while browsing the collection</w:t>
          </w:r>
        </w:p>
        <w:p w14:paraId="796BD7E7" w14:textId="6E8BFDAC" w:rsidR="005D2FAF" w:rsidRPr="002462B4" w:rsidRDefault="005D2FAF" w:rsidP="005D2FAF">
          <w:pPr>
            <w:pStyle w:val="ListParagraph"/>
            <w:numPr>
              <w:ilvl w:val="0"/>
              <w:numId w:val="29"/>
            </w:numPr>
            <w:spacing w:after="0" w:line="240" w:lineRule="auto"/>
            <w:rPr>
              <w:rFonts w:ascii="Calibri" w:eastAsia="Times New Roman" w:hAnsi="Calibri" w:cs="Tahoma"/>
              <w:bCs/>
              <w:color w:val="000000"/>
              <w:lang w:eastAsia="en-GB"/>
            </w:rPr>
          </w:pPr>
          <w:r w:rsidRPr="002462B4">
            <w:rPr>
              <w:rFonts w:ascii="Calibri" w:eastAsia="Times New Roman" w:hAnsi="Calibri" w:cs="Tahoma"/>
              <w:bCs/>
              <w:color w:val="000000"/>
              <w:lang w:eastAsia="en-GB"/>
            </w:rPr>
            <w:t>The manufacturers of devices that can be used to infringe copyright, such as USB sticks and blank DVDs</w:t>
          </w:r>
        </w:p>
        <w:p w14:paraId="27E74698" w14:textId="09FFCB0A" w:rsidR="005D2FAF" w:rsidRPr="002462B4" w:rsidRDefault="005D2FAF" w:rsidP="004C411C">
          <w:pPr>
            <w:pStyle w:val="ListParagraph"/>
            <w:numPr>
              <w:ilvl w:val="0"/>
              <w:numId w:val="29"/>
            </w:numPr>
            <w:spacing w:after="0" w:line="240" w:lineRule="auto"/>
            <w:rPr>
              <w:rFonts w:ascii="Calibri" w:eastAsia="Times New Roman" w:hAnsi="Calibri" w:cs="Tahoma"/>
              <w:bCs/>
              <w:color w:val="000000"/>
              <w:lang w:eastAsia="en-GB"/>
            </w:rPr>
          </w:pPr>
          <w:r w:rsidRPr="002462B4">
            <w:rPr>
              <w:rFonts w:ascii="Calibri" w:eastAsia="Times New Roman" w:hAnsi="Calibri" w:cs="Tahoma"/>
              <w:bCs/>
              <w:color w:val="000000"/>
              <w:lang w:eastAsia="en-GB"/>
            </w:rPr>
            <w:t xml:space="preserve">Government departments, schools, universities and others that provide </w:t>
          </w:r>
          <w:r w:rsidR="004C411C">
            <w:rPr>
              <w:rFonts w:ascii="Calibri" w:eastAsia="Times New Roman" w:hAnsi="Calibri" w:cs="Tahoma"/>
              <w:bCs/>
              <w:color w:val="000000"/>
              <w:lang w:eastAsia="en-GB"/>
            </w:rPr>
            <w:t xml:space="preserve">internet access and </w:t>
          </w:r>
          <w:r w:rsidRPr="002462B4">
            <w:rPr>
              <w:rFonts w:ascii="Calibri" w:eastAsia="Times New Roman" w:hAnsi="Calibri" w:cs="Tahoma"/>
              <w:bCs/>
              <w:color w:val="000000"/>
              <w:lang w:eastAsia="en-GB"/>
            </w:rPr>
            <w:t xml:space="preserve">cloud storage </w:t>
          </w:r>
          <w:r w:rsidR="004C411C">
            <w:rPr>
              <w:rFonts w:ascii="Calibri" w:eastAsia="Times New Roman" w:hAnsi="Calibri" w:cs="Tahoma"/>
              <w:bCs/>
              <w:color w:val="000000"/>
              <w:lang w:eastAsia="en-GB"/>
            </w:rPr>
            <w:t xml:space="preserve">to </w:t>
          </w:r>
          <w:r w:rsidRPr="002462B4">
            <w:rPr>
              <w:rFonts w:ascii="Calibri" w:eastAsia="Times New Roman" w:hAnsi="Calibri" w:cs="Tahoma"/>
              <w:bCs/>
              <w:color w:val="000000"/>
              <w:lang w:eastAsia="en-GB"/>
            </w:rPr>
            <w:t>their users</w:t>
          </w:r>
        </w:p>
        <w:p w14:paraId="0AE74F99" w14:textId="20830773" w:rsidR="005D2FAF" w:rsidRPr="002462B4" w:rsidRDefault="004C5A20" w:rsidP="002F4C78">
          <w:pPr>
            <w:pStyle w:val="ListParagraph"/>
            <w:numPr>
              <w:ilvl w:val="0"/>
              <w:numId w:val="29"/>
            </w:numPr>
            <w:spacing w:after="0" w:line="240" w:lineRule="auto"/>
            <w:rPr>
              <w:rFonts w:ascii="Calibri" w:eastAsia="Times New Roman" w:hAnsi="Calibri" w:cs="Tahoma"/>
              <w:bCs/>
              <w:color w:val="000000"/>
              <w:lang w:eastAsia="en-GB"/>
            </w:rPr>
          </w:pPr>
          <w:r>
            <w:rPr>
              <w:rFonts w:ascii="Calibri" w:eastAsia="Times New Roman" w:hAnsi="Calibri" w:cs="Tahoma"/>
              <w:bCs/>
              <w:color w:val="000000"/>
              <w:lang w:eastAsia="en-GB"/>
            </w:rPr>
            <w:t xml:space="preserve">Organisations who hire out venues and </w:t>
          </w:r>
          <w:r w:rsidR="005D2FAF" w:rsidRPr="002462B4">
            <w:rPr>
              <w:rFonts w:ascii="Calibri" w:eastAsia="Times New Roman" w:hAnsi="Calibri" w:cs="Tahoma"/>
              <w:bCs/>
              <w:color w:val="000000"/>
              <w:lang w:eastAsia="en-GB"/>
            </w:rPr>
            <w:t xml:space="preserve">provide equipment that may be </w:t>
          </w:r>
          <w:r w:rsidR="002F4C78">
            <w:rPr>
              <w:rFonts w:ascii="Calibri" w:eastAsia="Times New Roman" w:hAnsi="Calibri" w:cs="Tahoma"/>
              <w:bCs/>
              <w:color w:val="000000"/>
              <w:lang w:eastAsia="en-GB"/>
            </w:rPr>
            <w:t>put</w:t>
          </w:r>
          <w:r w:rsidR="002F4C78" w:rsidRPr="002462B4">
            <w:rPr>
              <w:rFonts w:ascii="Calibri" w:eastAsia="Times New Roman" w:hAnsi="Calibri" w:cs="Tahoma"/>
              <w:bCs/>
              <w:color w:val="000000"/>
              <w:lang w:eastAsia="en-GB"/>
            </w:rPr>
            <w:t xml:space="preserve"> </w:t>
          </w:r>
          <w:r w:rsidR="005D2FAF" w:rsidRPr="002462B4">
            <w:rPr>
              <w:rFonts w:ascii="Calibri" w:eastAsia="Times New Roman" w:hAnsi="Calibri" w:cs="Tahoma"/>
              <w:bCs/>
              <w:color w:val="000000"/>
              <w:lang w:eastAsia="en-GB"/>
            </w:rPr>
            <w:t xml:space="preserve">to infringing </w:t>
          </w:r>
          <w:r w:rsidR="002F4C78">
            <w:rPr>
              <w:rFonts w:ascii="Calibri" w:eastAsia="Times New Roman" w:hAnsi="Calibri" w:cs="Tahoma"/>
              <w:bCs/>
              <w:color w:val="000000"/>
              <w:lang w:eastAsia="en-GB"/>
            </w:rPr>
            <w:t>use</w:t>
          </w:r>
          <w:r w:rsidR="005D2FAF" w:rsidRPr="002462B4">
            <w:rPr>
              <w:rFonts w:ascii="Calibri" w:eastAsia="Times New Roman" w:hAnsi="Calibri" w:cs="Tahoma"/>
              <w:bCs/>
              <w:color w:val="000000"/>
              <w:lang w:eastAsia="en-GB"/>
            </w:rPr>
            <w:t>.</w:t>
          </w:r>
        </w:p>
        <w:p w14:paraId="1FD49999" w14:textId="77777777" w:rsidR="00A67006" w:rsidRPr="002462B4" w:rsidRDefault="00A67006" w:rsidP="005D2FAF">
          <w:pPr>
            <w:spacing w:after="0" w:line="240" w:lineRule="auto"/>
            <w:rPr>
              <w:rFonts w:ascii="Calibri" w:eastAsia="Times New Roman" w:hAnsi="Calibri" w:cs="Tahoma"/>
              <w:bCs/>
              <w:color w:val="000000"/>
              <w:lang w:eastAsia="en-GB"/>
            </w:rPr>
          </w:pPr>
        </w:p>
        <w:p w14:paraId="578645D3" w14:textId="202476A1" w:rsidR="00A67006" w:rsidRPr="002462B4" w:rsidRDefault="00A67006" w:rsidP="001A4D07">
          <w:pPr>
            <w:spacing w:after="0" w:line="240" w:lineRule="auto"/>
            <w:rPr>
              <w:rFonts w:ascii="Calibri" w:eastAsia="Times New Roman" w:hAnsi="Calibri" w:cs="Tahoma"/>
              <w:bCs/>
              <w:color w:val="000000"/>
              <w:lang w:eastAsia="en-GB"/>
            </w:rPr>
          </w:pPr>
          <w:r w:rsidRPr="002462B4">
            <w:rPr>
              <w:rFonts w:ascii="Calibri" w:eastAsia="Times New Roman" w:hAnsi="Calibri" w:cs="Tahoma"/>
              <w:bCs/>
              <w:color w:val="000000"/>
              <w:lang w:eastAsia="en-GB"/>
            </w:rPr>
            <w:t xml:space="preserve">The extent </w:t>
          </w:r>
          <w:r w:rsidR="002F4C78">
            <w:rPr>
              <w:rFonts w:ascii="Calibri" w:eastAsia="Times New Roman" w:hAnsi="Calibri" w:cs="Tahoma"/>
              <w:bCs/>
              <w:color w:val="000000"/>
              <w:lang w:eastAsia="en-GB"/>
            </w:rPr>
            <w:t>to</w:t>
          </w:r>
          <w:r w:rsidR="002F4C78" w:rsidRPr="002462B4">
            <w:rPr>
              <w:rFonts w:ascii="Calibri" w:eastAsia="Times New Roman" w:hAnsi="Calibri" w:cs="Tahoma"/>
              <w:bCs/>
              <w:color w:val="000000"/>
              <w:lang w:eastAsia="en-GB"/>
            </w:rPr>
            <w:t xml:space="preserve"> </w:t>
          </w:r>
          <w:r w:rsidRPr="002462B4">
            <w:rPr>
              <w:rFonts w:ascii="Calibri" w:eastAsia="Times New Roman" w:hAnsi="Calibri" w:cs="Tahoma"/>
              <w:bCs/>
              <w:color w:val="000000"/>
              <w:lang w:eastAsia="en-GB"/>
            </w:rPr>
            <w:t xml:space="preserve">which these intermediaries will be found liable and </w:t>
          </w:r>
          <w:r w:rsidR="002F4C78">
            <w:rPr>
              <w:rFonts w:ascii="Calibri" w:eastAsia="Times New Roman" w:hAnsi="Calibri" w:cs="Tahoma"/>
              <w:bCs/>
              <w:color w:val="000000"/>
              <w:lang w:eastAsia="en-GB"/>
            </w:rPr>
            <w:t>the</w:t>
          </w:r>
          <w:r w:rsidR="002F4C78" w:rsidRPr="002462B4">
            <w:rPr>
              <w:rFonts w:ascii="Calibri" w:eastAsia="Times New Roman" w:hAnsi="Calibri" w:cs="Tahoma"/>
              <w:bCs/>
              <w:color w:val="000000"/>
              <w:lang w:eastAsia="en-GB"/>
            </w:rPr>
            <w:t xml:space="preserve"> </w:t>
          </w:r>
          <w:r w:rsidRPr="002462B4">
            <w:rPr>
              <w:rFonts w:ascii="Calibri" w:eastAsia="Times New Roman" w:hAnsi="Calibri" w:cs="Tahoma"/>
              <w:bCs/>
              <w:color w:val="000000"/>
              <w:lang w:eastAsia="en-GB"/>
            </w:rPr>
            <w:t>steps they may have to take</w:t>
          </w:r>
          <w:r w:rsidR="001A4D07">
            <w:rPr>
              <w:rFonts w:ascii="Calibri" w:eastAsia="Times New Roman" w:hAnsi="Calibri" w:cs="Tahoma"/>
              <w:bCs/>
              <w:color w:val="000000"/>
              <w:lang w:eastAsia="en-GB"/>
            </w:rPr>
            <w:t xml:space="preserve"> </w:t>
          </w:r>
          <w:r w:rsidR="004C411C">
            <w:rPr>
              <w:rFonts w:ascii="Calibri" w:eastAsia="Times New Roman" w:hAnsi="Calibri" w:cs="Tahoma"/>
              <w:bCs/>
              <w:color w:val="000000"/>
              <w:lang w:eastAsia="en-GB"/>
            </w:rPr>
            <w:t xml:space="preserve">as a result of their expanded liability </w:t>
          </w:r>
          <w:r w:rsidR="001A4D07">
            <w:rPr>
              <w:rFonts w:ascii="Calibri" w:eastAsia="Times New Roman" w:hAnsi="Calibri" w:cs="Tahoma"/>
              <w:bCs/>
              <w:color w:val="000000"/>
              <w:lang w:eastAsia="en-GB"/>
            </w:rPr>
            <w:t>are</w:t>
          </w:r>
          <w:r w:rsidRPr="002462B4">
            <w:rPr>
              <w:rFonts w:ascii="Calibri" w:eastAsia="Times New Roman" w:hAnsi="Calibri" w:cs="Tahoma"/>
              <w:bCs/>
              <w:color w:val="000000"/>
              <w:lang w:eastAsia="en-GB"/>
            </w:rPr>
            <w:t xml:space="preserve"> unclear.  </w:t>
          </w:r>
        </w:p>
        <w:p w14:paraId="6AB07EB5" w14:textId="77777777" w:rsidR="00A67006" w:rsidRPr="002462B4" w:rsidRDefault="00A67006" w:rsidP="005D2FAF">
          <w:pPr>
            <w:spacing w:after="0" w:line="240" w:lineRule="auto"/>
            <w:rPr>
              <w:rFonts w:ascii="Calibri" w:eastAsia="Times New Roman" w:hAnsi="Calibri" w:cs="Tahoma"/>
              <w:bCs/>
              <w:color w:val="000000"/>
              <w:lang w:eastAsia="en-GB"/>
            </w:rPr>
          </w:pPr>
        </w:p>
        <w:p w14:paraId="5E211C56" w14:textId="28ABB7CB" w:rsidR="00A67006" w:rsidRPr="00221972" w:rsidRDefault="00A67006" w:rsidP="005D2FAF">
          <w:pPr>
            <w:spacing w:after="0" w:line="240" w:lineRule="auto"/>
            <w:rPr>
              <w:rFonts w:ascii="Calibri" w:eastAsia="Times New Roman" w:hAnsi="Calibri" w:cs="Tahoma"/>
              <w:bCs/>
              <w:color w:val="000000"/>
              <w:lang w:eastAsia="en-GB"/>
            </w:rPr>
          </w:pPr>
          <w:r w:rsidRPr="002462B4">
            <w:rPr>
              <w:rFonts w:ascii="Calibri" w:eastAsia="Times New Roman" w:hAnsi="Calibri" w:cs="Tahoma"/>
              <w:bCs/>
              <w:color w:val="000000"/>
              <w:lang w:eastAsia="en-GB"/>
            </w:rPr>
            <w:t xml:space="preserve">The proposals may leave many intermediaries, especially those providing public services, in a parlous state trying to balance increased obligations to rightsholders with their responsibilities to their users.  The provision of internet is one such case, where a decision by a library, school or university to disconnect a user would have serious </w:t>
          </w:r>
          <w:r w:rsidRPr="00221972">
            <w:rPr>
              <w:rFonts w:ascii="Calibri" w:eastAsia="Times New Roman" w:hAnsi="Calibri" w:cs="Tahoma"/>
              <w:bCs/>
              <w:color w:val="000000"/>
              <w:lang w:eastAsia="en-GB"/>
            </w:rPr>
            <w:t>ramifications.  If the scope of authorisation liability is expanded and unclear</w:t>
          </w:r>
          <w:r w:rsidR="0034474A" w:rsidRPr="00221972">
            <w:rPr>
              <w:rFonts w:ascii="Calibri" w:eastAsia="Times New Roman" w:hAnsi="Calibri" w:cs="Tahoma"/>
              <w:bCs/>
              <w:color w:val="000000"/>
              <w:lang w:eastAsia="en-GB"/>
            </w:rPr>
            <w:t xml:space="preserve"> these institutions would have greater legal incentive to shelter in the safe harbours, which provide both protection from financial penalties for copyright infringement and actions against users for actions taken t</w:t>
          </w:r>
          <w:r w:rsidR="003E51AF" w:rsidRPr="00221972">
            <w:rPr>
              <w:rFonts w:ascii="Calibri" w:eastAsia="Times New Roman" w:hAnsi="Calibri" w:cs="Tahoma"/>
              <w:bCs/>
              <w:color w:val="000000"/>
              <w:lang w:eastAsia="en-GB"/>
            </w:rPr>
            <w:t>o comply with the safe harbours,</w:t>
          </w:r>
          <w:r w:rsidR="0034474A" w:rsidRPr="00221972">
            <w:rPr>
              <w:rStyle w:val="FootnoteReference"/>
              <w:rFonts w:ascii="Calibri" w:eastAsia="Times New Roman" w:hAnsi="Calibri" w:cs="Tahoma"/>
              <w:bCs/>
              <w:color w:val="000000"/>
              <w:lang w:eastAsia="en-GB"/>
            </w:rPr>
            <w:footnoteReference w:id="6"/>
          </w:r>
          <w:r w:rsidR="003E51AF" w:rsidRPr="00221972">
            <w:rPr>
              <w:rFonts w:ascii="Calibri" w:eastAsia="Times New Roman" w:hAnsi="Calibri" w:cs="Tahoma"/>
              <w:bCs/>
              <w:color w:val="000000"/>
              <w:lang w:eastAsia="en-GB"/>
            </w:rPr>
            <w:t xml:space="preserve"> a decision that may not be in the best interests of users. </w:t>
          </w:r>
        </w:p>
        <w:p w14:paraId="6A38480E" w14:textId="77777777" w:rsidR="00D82873" w:rsidRPr="00221972" w:rsidRDefault="00D82873" w:rsidP="00D82873">
          <w:pPr>
            <w:spacing w:after="0" w:line="240" w:lineRule="auto"/>
            <w:rPr>
              <w:rFonts w:ascii="Calibri" w:eastAsia="Times New Roman" w:hAnsi="Calibri" w:cs="Tahoma"/>
              <w:bCs/>
              <w:color w:val="000000"/>
              <w:lang w:eastAsia="en-GB"/>
            </w:rPr>
          </w:pPr>
        </w:p>
        <w:p w14:paraId="5644E57D" w14:textId="456164E4" w:rsidR="00DF08F2" w:rsidRDefault="00221972" w:rsidP="005C6AAE">
          <w:pPr>
            <w:spacing w:after="0" w:line="240" w:lineRule="auto"/>
            <w:rPr>
              <w:rFonts w:ascii="Calibri" w:eastAsia="Times New Roman" w:hAnsi="Calibri" w:cs="Tahoma"/>
              <w:bCs/>
              <w:color w:val="000000"/>
              <w:lang w:eastAsia="en-GB"/>
            </w:rPr>
          </w:pPr>
          <w:r w:rsidRPr="00221972">
            <w:rPr>
              <w:rFonts w:ascii="Calibri" w:hAnsi="Calibri" w:cs="Segoe UI"/>
              <w:color w:val="000000"/>
            </w:rPr>
            <w:t xml:space="preserve">It is essential that consumers are involved in any future discussions on industry codes. Consumer and intermediary organisations have interests and rights which may not be well </w:t>
          </w:r>
          <w:r>
            <w:rPr>
              <w:rFonts w:ascii="Calibri" w:hAnsi="Calibri" w:cs="Segoe UI"/>
              <w:color w:val="000000"/>
            </w:rPr>
            <w:t xml:space="preserve">represented by industry players.  </w:t>
          </w:r>
          <w:r w:rsidR="00F44BB2">
            <w:rPr>
              <w:rFonts w:ascii="Calibri" w:eastAsia="Times New Roman" w:hAnsi="Calibri" w:cs="Tahoma"/>
              <w:bCs/>
              <w:color w:val="000000"/>
              <w:lang w:eastAsia="en-GB"/>
            </w:rPr>
            <w:t>O</w:t>
          </w:r>
          <w:r w:rsidR="00461AAA" w:rsidRPr="002462B4">
            <w:rPr>
              <w:rFonts w:ascii="Calibri" w:eastAsia="Times New Roman" w:hAnsi="Calibri" w:cs="Tahoma"/>
              <w:bCs/>
              <w:color w:val="000000"/>
              <w:lang w:eastAsia="en-GB"/>
            </w:rPr>
            <w:t>ther often unrepresented voice</w:t>
          </w:r>
          <w:r w:rsidR="00F44BB2">
            <w:rPr>
              <w:rFonts w:ascii="Calibri" w:eastAsia="Times New Roman" w:hAnsi="Calibri" w:cs="Tahoma"/>
              <w:bCs/>
              <w:color w:val="000000"/>
              <w:lang w:eastAsia="en-GB"/>
            </w:rPr>
            <w:t>s</w:t>
          </w:r>
          <w:r w:rsidR="00461AAA" w:rsidRPr="002462B4">
            <w:rPr>
              <w:rFonts w:ascii="Calibri" w:eastAsia="Times New Roman" w:hAnsi="Calibri" w:cs="Tahoma"/>
              <w:bCs/>
              <w:color w:val="000000"/>
              <w:lang w:eastAsia="en-GB"/>
            </w:rPr>
            <w:t xml:space="preserve"> are domestic or small scale producers who lack the resources to partici</w:t>
          </w:r>
          <w:bookmarkStart w:id="0" w:name="_GoBack"/>
          <w:bookmarkEnd w:id="0"/>
          <w:r w:rsidR="00461AAA" w:rsidRPr="002462B4">
            <w:rPr>
              <w:rFonts w:ascii="Calibri" w:eastAsia="Times New Roman" w:hAnsi="Calibri" w:cs="Tahoma"/>
              <w:bCs/>
              <w:color w:val="000000"/>
              <w:lang w:eastAsia="en-GB"/>
            </w:rPr>
            <w:t>pate effectively in</w:t>
          </w:r>
          <w:r w:rsidR="005C6AAE">
            <w:rPr>
              <w:rFonts w:ascii="Calibri" w:eastAsia="Times New Roman" w:hAnsi="Calibri" w:cs="Tahoma"/>
              <w:bCs/>
              <w:color w:val="000000"/>
              <w:lang w:eastAsia="en-GB"/>
            </w:rPr>
            <w:t xml:space="preserve"> any</w:t>
          </w:r>
          <w:r w:rsidR="00461AAA" w:rsidRPr="002462B4">
            <w:rPr>
              <w:rFonts w:ascii="Calibri" w:eastAsia="Times New Roman" w:hAnsi="Calibri" w:cs="Tahoma"/>
              <w:bCs/>
              <w:color w:val="000000"/>
              <w:lang w:eastAsia="en-GB"/>
            </w:rPr>
            <w:t xml:space="preserve"> ‘notice’ type scheme.  </w:t>
          </w:r>
        </w:p>
        <w:p w14:paraId="1943BD85" w14:textId="77777777" w:rsidR="00DF08F2" w:rsidRDefault="00DF08F2" w:rsidP="005C6AAE">
          <w:pPr>
            <w:spacing w:after="0" w:line="240" w:lineRule="auto"/>
            <w:rPr>
              <w:rFonts w:ascii="Calibri" w:eastAsia="Times New Roman" w:hAnsi="Calibri" w:cs="Tahoma"/>
              <w:bCs/>
              <w:color w:val="000000"/>
              <w:lang w:eastAsia="en-GB"/>
            </w:rPr>
          </w:pPr>
        </w:p>
        <w:p w14:paraId="301F621C" w14:textId="2C24C26E" w:rsidR="00A67006" w:rsidRPr="002462B4" w:rsidRDefault="00A67006" w:rsidP="005C6AAE">
          <w:pPr>
            <w:spacing w:after="0" w:line="240" w:lineRule="auto"/>
            <w:rPr>
              <w:rFonts w:ascii="Calibri" w:eastAsia="Times New Roman" w:hAnsi="Calibri" w:cs="Tahoma"/>
              <w:bCs/>
              <w:color w:val="000000"/>
              <w:lang w:eastAsia="en-GB"/>
            </w:rPr>
          </w:pPr>
          <w:r w:rsidRPr="002462B4">
            <w:rPr>
              <w:rFonts w:ascii="Calibri" w:eastAsia="Times New Roman" w:hAnsi="Calibri" w:cs="Tahoma"/>
              <w:bCs/>
              <w:color w:val="000000"/>
              <w:lang w:eastAsia="en-GB"/>
            </w:rPr>
            <w:t xml:space="preserve">Ideally future </w:t>
          </w:r>
          <w:r w:rsidR="00D82873" w:rsidRPr="002462B4">
            <w:rPr>
              <w:rFonts w:ascii="Calibri" w:eastAsia="Times New Roman" w:hAnsi="Calibri" w:cs="Tahoma"/>
              <w:bCs/>
              <w:color w:val="000000"/>
              <w:lang w:eastAsia="en-GB"/>
            </w:rPr>
            <w:t>codes</w:t>
          </w:r>
          <w:r w:rsidRPr="002462B4">
            <w:rPr>
              <w:rFonts w:ascii="Calibri" w:eastAsia="Times New Roman" w:hAnsi="Calibri" w:cs="Tahoma"/>
              <w:bCs/>
              <w:color w:val="000000"/>
              <w:lang w:eastAsia="en-GB"/>
            </w:rPr>
            <w:t xml:space="preserve"> would be restricted to targeted </w:t>
          </w:r>
          <w:r w:rsidR="00D82873" w:rsidRPr="002462B4">
            <w:rPr>
              <w:rFonts w:ascii="Calibri" w:eastAsia="Times New Roman" w:hAnsi="Calibri" w:cs="Tahoma"/>
              <w:bCs/>
              <w:color w:val="000000"/>
              <w:lang w:eastAsia="en-GB"/>
            </w:rPr>
            <w:t xml:space="preserve">areas, not </w:t>
          </w:r>
          <w:r w:rsidRPr="002462B4">
            <w:rPr>
              <w:rFonts w:ascii="Calibri" w:eastAsia="Times New Roman" w:hAnsi="Calibri" w:cs="Tahoma"/>
              <w:bCs/>
              <w:color w:val="000000"/>
              <w:lang w:eastAsia="en-GB"/>
            </w:rPr>
            <w:t xml:space="preserve">the impractical nebulous range of activities and intermediaries currently under consideration.  </w:t>
          </w:r>
          <w:r w:rsidR="00461AAA" w:rsidRPr="002462B4">
            <w:rPr>
              <w:rFonts w:ascii="Calibri" w:eastAsia="Times New Roman" w:hAnsi="Calibri" w:cs="Tahoma"/>
              <w:bCs/>
              <w:color w:val="000000"/>
              <w:lang w:eastAsia="en-GB"/>
            </w:rPr>
            <w:t>An</w:t>
          </w:r>
          <w:r w:rsidR="00D82873" w:rsidRPr="002462B4">
            <w:rPr>
              <w:rFonts w:ascii="Calibri" w:eastAsia="Times New Roman" w:hAnsi="Calibri" w:cs="Tahoma"/>
              <w:bCs/>
              <w:color w:val="000000"/>
              <w:lang w:eastAsia="en-GB"/>
            </w:rPr>
            <w:t xml:space="preserve"> example would be the ISP codes foreshadowed in the discussion paper.</w:t>
          </w:r>
          <w:r w:rsidR="00D82873" w:rsidRPr="002462B4">
            <w:rPr>
              <w:rStyle w:val="FootnoteReference"/>
              <w:rFonts w:ascii="Calibri" w:eastAsia="Times New Roman" w:hAnsi="Calibri" w:cs="Tahoma"/>
              <w:bCs/>
              <w:color w:val="000000"/>
              <w:lang w:eastAsia="en-GB"/>
            </w:rPr>
            <w:footnoteReference w:id="7"/>
          </w:r>
          <w:r w:rsidR="00D82873" w:rsidRPr="002462B4">
            <w:rPr>
              <w:rFonts w:ascii="Calibri" w:eastAsia="Times New Roman" w:hAnsi="Calibri" w:cs="Tahoma"/>
              <w:bCs/>
              <w:color w:val="000000"/>
              <w:lang w:eastAsia="en-GB"/>
            </w:rPr>
            <w:t xml:space="preserve">  </w:t>
          </w:r>
          <w:r w:rsidRPr="002462B4">
            <w:rPr>
              <w:rFonts w:ascii="Calibri" w:eastAsia="Times New Roman" w:hAnsi="Calibri" w:cs="Tahoma"/>
              <w:bCs/>
              <w:color w:val="000000"/>
              <w:lang w:eastAsia="en-GB"/>
            </w:rPr>
            <w:t xml:space="preserve">We would be happy to consult further on a framework for these discussions. </w:t>
          </w:r>
        </w:p>
        <w:p w14:paraId="0AD80C5B" w14:textId="77777777" w:rsidR="00A67006" w:rsidRPr="002462B4" w:rsidRDefault="00A67006" w:rsidP="005D2FAF">
          <w:pPr>
            <w:spacing w:after="0" w:line="240" w:lineRule="auto"/>
            <w:rPr>
              <w:rFonts w:ascii="Calibri" w:eastAsia="Times New Roman" w:hAnsi="Calibri" w:cs="Tahoma"/>
              <w:bCs/>
              <w:color w:val="000000"/>
              <w:lang w:eastAsia="en-GB"/>
            </w:rPr>
          </w:pPr>
        </w:p>
        <w:p w14:paraId="3EEFB04C" w14:textId="56CA5CB3" w:rsidR="00461AAA" w:rsidRPr="002462B4" w:rsidRDefault="00D82873" w:rsidP="005F1DF7">
          <w:pPr>
            <w:spacing w:after="0" w:line="240" w:lineRule="auto"/>
            <w:rPr>
              <w:rFonts w:ascii="Calibri" w:eastAsia="Times New Roman" w:hAnsi="Calibri" w:cs="Tahoma"/>
              <w:bCs/>
              <w:color w:val="000000"/>
              <w:lang w:eastAsia="en-GB"/>
            </w:rPr>
          </w:pPr>
          <w:r w:rsidRPr="002462B4">
            <w:rPr>
              <w:rFonts w:ascii="Calibri" w:eastAsia="Times New Roman" w:hAnsi="Calibri" w:cs="Tahoma"/>
              <w:bCs/>
              <w:color w:val="000000"/>
              <w:lang w:eastAsia="en-GB"/>
            </w:rPr>
            <w:t xml:space="preserve">Piracy is a complex </w:t>
          </w:r>
          <w:r w:rsidR="00461AAA" w:rsidRPr="002462B4">
            <w:rPr>
              <w:rFonts w:ascii="Calibri" w:eastAsia="Times New Roman" w:hAnsi="Calibri" w:cs="Tahoma"/>
              <w:bCs/>
              <w:color w:val="000000"/>
              <w:lang w:eastAsia="en-GB"/>
            </w:rPr>
            <w:t>issue, while it is set in a legal framework it is also a market issue.  There have been a range of solutions put in place overseas, and the results so far have been mixed.</w:t>
          </w:r>
          <w:r w:rsidR="002462B4">
            <w:rPr>
              <w:rStyle w:val="FootnoteReference"/>
              <w:rFonts w:ascii="Calibri" w:eastAsia="Times New Roman" w:hAnsi="Calibri" w:cs="Tahoma"/>
              <w:bCs/>
              <w:color w:val="000000"/>
              <w:lang w:eastAsia="en-GB"/>
            </w:rPr>
            <w:footnoteReference w:id="8"/>
          </w:r>
          <w:r w:rsidR="00461AAA" w:rsidRPr="002462B4">
            <w:rPr>
              <w:rFonts w:ascii="Calibri" w:eastAsia="Times New Roman" w:hAnsi="Calibri" w:cs="Tahoma"/>
              <w:bCs/>
              <w:color w:val="000000"/>
              <w:lang w:eastAsia="en-GB"/>
            </w:rPr>
            <w:t xml:space="preserve">  Results from two of the most recent schemes, those in the UK and USA are </w:t>
          </w:r>
          <w:r w:rsidR="00447218">
            <w:rPr>
              <w:rFonts w:ascii="Calibri" w:eastAsia="Times New Roman" w:hAnsi="Calibri" w:cs="Tahoma"/>
              <w:bCs/>
              <w:color w:val="000000"/>
              <w:lang w:eastAsia="en-GB"/>
            </w:rPr>
            <w:t>yet to be disseminated</w:t>
          </w:r>
          <w:r w:rsidR="00461AAA" w:rsidRPr="002462B4">
            <w:rPr>
              <w:rFonts w:ascii="Calibri" w:eastAsia="Times New Roman" w:hAnsi="Calibri" w:cs="Tahoma"/>
              <w:bCs/>
              <w:color w:val="000000"/>
              <w:lang w:eastAsia="en-GB"/>
            </w:rPr>
            <w:t>.  Question 8 in the discussion paper asks how the impacts of any scheme should be measured.  At the least</w:t>
          </w:r>
          <w:r w:rsidR="00DF08F2">
            <w:rPr>
              <w:rFonts w:ascii="Calibri" w:eastAsia="Times New Roman" w:hAnsi="Calibri" w:cs="Tahoma"/>
              <w:bCs/>
              <w:color w:val="000000"/>
              <w:lang w:eastAsia="en-GB"/>
            </w:rPr>
            <w:t>,</w:t>
          </w:r>
          <w:r w:rsidR="00461AAA" w:rsidRPr="002462B4">
            <w:rPr>
              <w:rFonts w:ascii="Calibri" w:eastAsia="Times New Roman" w:hAnsi="Calibri" w:cs="Tahoma"/>
              <w:bCs/>
              <w:color w:val="000000"/>
              <w:lang w:eastAsia="en-GB"/>
            </w:rPr>
            <w:t xml:space="preserve"> going forward we would like to measure:</w:t>
          </w:r>
        </w:p>
        <w:p w14:paraId="6FDDA42B" w14:textId="3BCE2B1C" w:rsidR="00461AAA" w:rsidRPr="002462B4" w:rsidRDefault="00461AAA" w:rsidP="00461AAA">
          <w:pPr>
            <w:pStyle w:val="ListParagraph"/>
            <w:numPr>
              <w:ilvl w:val="0"/>
              <w:numId w:val="30"/>
            </w:numPr>
            <w:spacing w:after="0" w:line="240" w:lineRule="auto"/>
            <w:rPr>
              <w:rFonts w:ascii="Calibri" w:eastAsia="Times New Roman" w:hAnsi="Calibri" w:cs="Tahoma"/>
              <w:bCs/>
              <w:color w:val="000000"/>
              <w:lang w:eastAsia="en-GB"/>
            </w:rPr>
          </w:pPr>
          <w:r w:rsidRPr="002462B4">
            <w:rPr>
              <w:rFonts w:ascii="Calibri" w:eastAsia="Times New Roman" w:hAnsi="Calibri" w:cs="Tahoma"/>
              <w:bCs/>
              <w:color w:val="000000"/>
              <w:lang w:eastAsia="en-GB"/>
            </w:rPr>
            <w:t xml:space="preserve">the range, time delay and price of content available to Australians; </w:t>
          </w:r>
        </w:p>
        <w:p w14:paraId="42C6205C" w14:textId="4061A9E3" w:rsidR="00447218" w:rsidRDefault="00461AAA" w:rsidP="00461AAA">
          <w:pPr>
            <w:pStyle w:val="ListParagraph"/>
            <w:numPr>
              <w:ilvl w:val="0"/>
              <w:numId w:val="30"/>
            </w:numPr>
            <w:spacing w:after="0" w:line="240" w:lineRule="auto"/>
            <w:rPr>
              <w:rFonts w:ascii="Calibri" w:eastAsia="Times New Roman" w:hAnsi="Calibri" w:cs="Tahoma"/>
              <w:bCs/>
              <w:color w:val="000000"/>
              <w:lang w:eastAsia="en-GB"/>
            </w:rPr>
          </w:pPr>
          <w:r w:rsidRPr="002462B4">
            <w:rPr>
              <w:rFonts w:ascii="Calibri" w:eastAsia="Times New Roman" w:hAnsi="Calibri" w:cs="Tahoma"/>
              <w:bCs/>
              <w:color w:val="000000"/>
              <w:lang w:eastAsia="en-GB"/>
            </w:rPr>
            <w:t xml:space="preserve">any noticeable increase in </w:t>
          </w:r>
          <w:r w:rsidR="00447218">
            <w:rPr>
              <w:rFonts w:ascii="Calibri" w:eastAsia="Times New Roman" w:hAnsi="Calibri" w:cs="Tahoma"/>
              <w:bCs/>
              <w:color w:val="000000"/>
              <w:lang w:eastAsia="en-GB"/>
            </w:rPr>
            <w:t>quality/quantity of domestic production;</w:t>
          </w:r>
        </w:p>
        <w:p w14:paraId="639D4E68" w14:textId="78FD4BD7" w:rsidR="00461AAA" w:rsidRPr="002462B4" w:rsidRDefault="00447218" w:rsidP="00461AAA">
          <w:pPr>
            <w:pStyle w:val="ListParagraph"/>
            <w:numPr>
              <w:ilvl w:val="0"/>
              <w:numId w:val="30"/>
            </w:numPr>
            <w:spacing w:after="0" w:line="240" w:lineRule="auto"/>
            <w:rPr>
              <w:rFonts w:ascii="Calibri" w:eastAsia="Times New Roman" w:hAnsi="Calibri" w:cs="Tahoma"/>
              <w:bCs/>
              <w:color w:val="000000"/>
              <w:lang w:eastAsia="en-GB"/>
            </w:rPr>
          </w:pPr>
          <w:r>
            <w:rPr>
              <w:rFonts w:ascii="Calibri" w:eastAsia="Times New Roman" w:hAnsi="Calibri" w:cs="Tahoma"/>
              <w:bCs/>
              <w:color w:val="000000"/>
              <w:lang w:eastAsia="en-GB"/>
            </w:rPr>
            <w:t xml:space="preserve">any increase in </w:t>
          </w:r>
          <w:r w:rsidR="00461AAA" w:rsidRPr="002462B4">
            <w:rPr>
              <w:rFonts w:ascii="Calibri" w:eastAsia="Times New Roman" w:hAnsi="Calibri" w:cs="Tahoma"/>
              <w:bCs/>
              <w:color w:val="000000"/>
              <w:lang w:eastAsia="en-GB"/>
            </w:rPr>
            <w:t xml:space="preserve">domestic creator incomes;  </w:t>
          </w:r>
        </w:p>
        <w:p w14:paraId="29957F44" w14:textId="77777777" w:rsidR="00461AAA" w:rsidRPr="002462B4" w:rsidRDefault="00461AAA" w:rsidP="00461AAA">
          <w:pPr>
            <w:pStyle w:val="ListParagraph"/>
            <w:numPr>
              <w:ilvl w:val="0"/>
              <w:numId w:val="30"/>
            </w:numPr>
            <w:spacing w:after="0" w:line="240" w:lineRule="auto"/>
            <w:rPr>
              <w:rFonts w:ascii="Calibri" w:eastAsia="Times New Roman" w:hAnsi="Calibri" w:cs="Tahoma"/>
              <w:bCs/>
              <w:color w:val="000000"/>
              <w:lang w:eastAsia="en-GB"/>
            </w:rPr>
          </w:pPr>
          <w:r w:rsidRPr="002462B4">
            <w:rPr>
              <w:rFonts w:ascii="Calibri" w:eastAsia="Times New Roman" w:hAnsi="Calibri" w:cs="Tahoma"/>
              <w:bCs/>
              <w:color w:val="000000"/>
              <w:lang w:eastAsia="en-GB"/>
            </w:rPr>
            <w:t xml:space="preserve">compliance costs to intermediaries; </w:t>
          </w:r>
        </w:p>
        <w:p w14:paraId="3C1BF194" w14:textId="77777777" w:rsidR="00461AAA" w:rsidRPr="002462B4" w:rsidRDefault="00461AAA" w:rsidP="00461AAA">
          <w:pPr>
            <w:pStyle w:val="ListParagraph"/>
            <w:numPr>
              <w:ilvl w:val="0"/>
              <w:numId w:val="30"/>
            </w:numPr>
            <w:spacing w:after="0" w:line="240" w:lineRule="auto"/>
            <w:rPr>
              <w:rFonts w:ascii="Calibri" w:eastAsia="Times New Roman" w:hAnsi="Calibri" w:cs="Tahoma"/>
              <w:bCs/>
              <w:color w:val="000000"/>
              <w:lang w:eastAsia="en-GB"/>
            </w:rPr>
          </w:pPr>
          <w:r w:rsidRPr="002462B4">
            <w:rPr>
              <w:rFonts w:ascii="Calibri" w:eastAsia="Times New Roman" w:hAnsi="Calibri" w:cs="Tahoma"/>
              <w:bCs/>
              <w:color w:val="000000"/>
              <w:lang w:eastAsia="en-GB"/>
            </w:rPr>
            <w:t>increased costs for business and consumer ISP customers</w:t>
          </w:r>
        </w:p>
        <w:p w14:paraId="2DF8110C" w14:textId="77777777" w:rsidR="00461AAA" w:rsidRPr="002462B4" w:rsidRDefault="00461AAA" w:rsidP="00461AAA">
          <w:pPr>
            <w:spacing w:after="0" w:line="240" w:lineRule="auto"/>
            <w:rPr>
              <w:rFonts w:ascii="Calibri" w:eastAsia="Times New Roman" w:hAnsi="Calibri" w:cs="Tahoma"/>
              <w:bCs/>
              <w:color w:val="000000"/>
              <w:lang w:eastAsia="en-GB"/>
            </w:rPr>
          </w:pPr>
        </w:p>
        <w:p w14:paraId="7969F0B2" w14:textId="1A639F5D" w:rsidR="00461AAA" w:rsidRPr="002462B4" w:rsidRDefault="0053026B" w:rsidP="00461AAA">
          <w:pPr>
            <w:spacing w:after="0" w:line="240" w:lineRule="auto"/>
            <w:rPr>
              <w:rFonts w:ascii="Calibri" w:eastAsia="Times New Roman" w:hAnsi="Calibri" w:cs="Tahoma"/>
              <w:bCs/>
              <w:color w:val="000000"/>
              <w:lang w:eastAsia="en-GB"/>
            </w:rPr>
          </w:pPr>
          <w:r>
            <w:rPr>
              <w:rFonts w:ascii="Calibri" w:eastAsia="Times New Roman" w:hAnsi="Calibri" w:cs="Tahoma"/>
              <w:bCs/>
              <w:color w:val="000000"/>
              <w:lang w:eastAsia="en-GB"/>
            </w:rPr>
            <w:t>Ideally a scheme would be designed</w:t>
          </w:r>
          <w:r w:rsidR="00461AAA" w:rsidRPr="002462B4">
            <w:rPr>
              <w:rFonts w:ascii="Calibri" w:eastAsia="Times New Roman" w:hAnsi="Calibri" w:cs="Tahoma"/>
              <w:bCs/>
              <w:color w:val="000000"/>
              <w:lang w:eastAsia="en-GB"/>
            </w:rPr>
            <w:t xml:space="preserve"> drawing on empirical evidence from schemes alrea</w:t>
          </w:r>
          <w:r>
            <w:rPr>
              <w:rFonts w:ascii="Calibri" w:eastAsia="Times New Roman" w:hAnsi="Calibri" w:cs="Tahoma"/>
              <w:bCs/>
              <w:color w:val="000000"/>
              <w:lang w:eastAsia="en-GB"/>
            </w:rPr>
            <w:t>dy in place in other jurisdictions.  D</w:t>
          </w:r>
          <w:r w:rsidR="00461AAA" w:rsidRPr="002462B4">
            <w:rPr>
              <w:rFonts w:ascii="Calibri" w:eastAsia="Times New Roman" w:hAnsi="Calibri" w:cs="Tahoma"/>
              <w:bCs/>
              <w:color w:val="000000"/>
              <w:lang w:eastAsia="en-GB"/>
            </w:rPr>
            <w:t>ata</w:t>
          </w:r>
          <w:r>
            <w:rPr>
              <w:rFonts w:ascii="Calibri" w:eastAsia="Times New Roman" w:hAnsi="Calibri" w:cs="Tahoma"/>
              <w:bCs/>
              <w:color w:val="000000"/>
              <w:lang w:eastAsia="en-GB"/>
            </w:rPr>
            <w:t xml:space="preserve"> would be gathered before implementation,</w:t>
          </w:r>
          <w:r w:rsidR="00461AAA" w:rsidRPr="002462B4">
            <w:rPr>
              <w:rFonts w:ascii="Calibri" w:eastAsia="Times New Roman" w:hAnsi="Calibri" w:cs="Tahoma"/>
              <w:bCs/>
              <w:color w:val="000000"/>
              <w:lang w:eastAsia="en-GB"/>
            </w:rPr>
            <w:t xml:space="preserve"> to gaug</w:t>
          </w:r>
          <w:r>
            <w:rPr>
              <w:rFonts w:ascii="Calibri" w:eastAsia="Times New Roman" w:hAnsi="Calibri" w:cs="Tahoma"/>
              <w:bCs/>
              <w:color w:val="000000"/>
              <w:lang w:eastAsia="en-GB"/>
            </w:rPr>
            <w:t>e the extent of the problem</w:t>
          </w:r>
          <w:r w:rsidR="00461AAA" w:rsidRPr="002462B4">
            <w:rPr>
              <w:rFonts w:ascii="Calibri" w:eastAsia="Times New Roman" w:hAnsi="Calibri" w:cs="Tahoma"/>
              <w:bCs/>
              <w:color w:val="000000"/>
              <w:lang w:eastAsia="en-GB"/>
            </w:rPr>
            <w:t xml:space="preserve"> </w:t>
          </w:r>
          <w:r>
            <w:rPr>
              <w:rFonts w:ascii="Calibri" w:eastAsia="Times New Roman" w:hAnsi="Calibri" w:cs="Tahoma"/>
              <w:bCs/>
              <w:color w:val="000000"/>
              <w:lang w:eastAsia="en-GB"/>
            </w:rPr>
            <w:t xml:space="preserve">and as a baseline against which to measure the impacts of the scheme. </w:t>
          </w:r>
        </w:p>
        <w:p w14:paraId="529BE010" w14:textId="77777777" w:rsidR="00461AAA" w:rsidRPr="002462B4" w:rsidRDefault="00461AAA" w:rsidP="00461AAA">
          <w:pPr>
            <w:spacing w:after="0" w:line="240" w:lineRule="auto"/>
            <w:rPr>
              <w:rFonts w:ascii="Calibri" w:eastAsia="Times New Roman" w:hAnsi="Calibri" w:cs="Tahoma"/>
              <w:bCs/>
              <w:color w:val="000000"/>
              <w:lang w:eastAsia="en-GB"/>
            </w:rPr>
          </w:pPr>
        </w:p>
        <w:p w14:paraId="0B3F6BD1" w14:textId="48DDBDBB" w:rsidR="00461AAA" w:rsidRPr="002462B4" w:rsidRDefault="00461AAA" w:rsidP="00461AAA">
          <w:pPr>
            <w:spacing w:after="0" w:line="240" w:lineRule="auto"/>
            <w:rPr>
              <w:rFonts w:ascii="Calibri" w:eastAsia="Times New Roman" w:hAnsi="Calibri" w:cs="Tahoma"/>
              <w:bCs/>
              <w:color w:val="000000"/>
              <w:lang w:eastAsia="en-GB"/>
            </w:rPr>
          </w:pPr>
          <w:r w:rsidRPr="002462B4">
            <w:rPr>
              <w:rFonts w:ascii="Calibri" w:eastAsia="Times New Roman" w:hAnsi="Calibri" w:cs="Tahoma"/>
              <w:bCs/>
              <w:color w:val="000000"/>
              <w:lang w:eastAsia="en-GB"/>
            </w:rPr>
            <w:t xml:space="preserve">And before we </w:t>
          </w:r>
          <w:r w:rsidR="0053026B">
            <w:rPr>
              <w:rFonts w:ascii="Calibri" w:eastAsia="Times New Roman" w:hAnsi="Calibri" w:cs="Tahoma"/>
              <w:bCs/>
              <w:color w:val="000000"/>
              <w:lang w:eastAsia="en-GB"/>
            </w:rPr>
            <w:t>increase enforcement we sh</w:t>
          </w:r>
          <w:r w:rsidRPr="002462B4">
            <w:rPr>
              <w:rFonts w:ascii="Calibri" w:eastAsia="Times New Roman" w:hAnsi="Calibri" w:cs="Tahoma"/>
              <w:bCs/>
              <w:color w:val="000000"/>
              <w:lang w:eastAsia="en-GB"/>
            </w:rPr>
            <w:t>ould ensure that</w:t>
          </w:r>
          <w:r w:rsidR="0053026B">
            <w:rPr>
              <w:rFonts w:ascii="Calibri" w:eastAsia="Times New Roman" w:hAnsi="Calibri" w:cs="Tahoma"/>
              <w:bCs/>
              <w:color w:val="000000"/>
              <w:lang w:eastAsia="en-GB"/>
            </w:rPr>
            <w:t xml:space="preserve"> the system we are enforcing i</w:t>
          </w:r>
          <w:r w:rsidRPr="002462B4">
            <w:rPr>
              <w:rFonts w:ascii="Calibri" w:eastAsia="Times New Roman" w:hAnsi="Calibri" w:cs="Tahoma"/>
              <w:bCs/>
              <w:color w:val="000000"/>
              <w:lang w:eastAsia="en-GB"/>
            </w:rPr>
            <w:t>s coherent and sensible.  The Attorney-General himself earlier in the year described the Act as</w:t>
          </w:r>
        </w:p>
        <w:p w14:paraId="390D9910" w14:textId="2ECAD305" w:rsidR="00461AAA" w:rsidRPr="002462B4" w:rsidRDefault="0039280F" w:rsidP="0039280F">
          <w:pPr>
            <w:spacing w:after="0" w:line="240" w:lineRule="auto"/>
            <w:ind w:left="720"/>
            <w:rPr>
              <w:rFonts w:ascii="Calibri" w:eastAsia="Times New Roman" w:hAnsi="Calibri" w:cs="Tahoma"/>
              <w:bCs/>
              <w:color w:val="000000"/>
              <w:lang w:eastAsia="en-GB"/>
            </w:rPr>
          </w:pPr>
          <w:r w:rsidRPr="002462B4">
            <w:rPr>
              <w:rFonts w:ascii="Calibri" w:hAnsi="Calibri"/>
              <w:color w:val="333333"/>
              <w:shd w:val="clear" w:color="auto" w:fill="FFFFFF"/>
            </w:rPr>
            <w:t>overly long, unnecessarily complex, often comically outdated and all too often, in its administration, pointlessly bureaucratic.</w:t>
          </w:r>
          <w:r w:rsidRPr="002462B4">
            <w:rPr>
              <w:rStyle w:val="FootnoteReference"/>
              <w:rFonts w:ascii="Calibri" w:hAnsi="Calibri"/>
              <w:color w:val="333333"/>
              <w:shd w:val="clear" w:color="auto" w:fill="FFFFFF"/>
            </w:rPr>
            <w:footnoteReference w:id="9"/>
          </w:r>
          <w:r w:rsidRPr="002462B4">
            <w:rPr>
              <w:rFonts w:ascii="Calibri" w:hAnsi="Calibri"/>
              <w:color w:val="333333"/>
              <w:shd w:val="clear" w:color="auto" w:fill="FFFFFF"/>
            </w:rPr>
            <w:t> </w:t>
          </w:r>
        </w:p>
        <w:p w14:paraId="51F2256A" w14:textId="66183786" w:rsidR="00461AAA" w:rsidRPr="002462B4" w:rsidRDefault="0039280F" w:rsidP="005F1DF7">
          <w:pPr>
            <w:spacing w:after="0" w:line="240" w:lineRule="auto"/>
            <w:rPr>
              <w:rFonts w:ascii="Calibri" w:eastAsia="Times New Roman" w:hAnsi="Calibri" w:cs="Tahoma"/>
              <w:bCs/>
              <w:color w:val="000000"/>
              <w:lang w:eastAsia="en-GB"/>
            </w:rPr>
          </w:pPr>
          <w:r w:rsidRPr="002462B4">
            <w:rPr>
              <w:rFonts w:ascii="Calibri" w:eastAsia="Times New Roman" w:hAnsi="Calibri" w:cs="Tahoma"/>
              <w:bCs/>
              <w:color w:val="000000"/>
              <w:lang w:eastAsia="en-GB"/>
            </w:rPr>
            <w:t>Overdue reforms mean that intermediaries will face higher levels of risk than their overseas competitors.  Lacking a flexible exception, such as the ALRC’s recommended ‘fair use’ exception, many uses that would be non-infringing in countries such as the USA would be infringing here.  And therefore intermediaries are exposed to a greater range of actions for which they may be liable for authorisation.  Ac</w:t>
          </w:r>
          <w:r w:rsidR="00447218">
            <w:rPr>
              <w:rFonts w:ascii="Calibri" w:eastAsia="Times New Roman" w:hAnsi="Calibri" w:cs="Tahoma"/>
              <w:bCs/>
              <w:color w:val="000000"/>
              <w:lang w:eastAsia="en-GB"/>
            </w:rPr>
            <w:t>tivities such as showing a YouT</w:t>
          </w:r>
          <w:r w:rsidRPr="002462B4">
            <w:rPr>
              <w:rFonts w:ascii="Calibri" w:eastAsia="Times New Roman" w:hAnsi="Calibri" w:cs="Tahoma"/>
              <w:bCs/>
              <w:color w:val="000000"/>
              <w:lang w:eastAsia="en-GB"/>
            </w:rPr>
            <w:t>ube video</w:t>
          </w:r>
          <w:r w:rsidR="00447218">
            <w:rPr>
              <w:rFonts w:ascii="Calibri" w:eastAsia="Times New Roman" w:hAnsi="Calibri" w:cs="Tahoma"/>
              <w:bCs/>
              <w:color w:val="000000"/>
              <w:lang w:eastAsia="en-GB"/>
            </w:rPr>
            <w:t xml:space="preserve"> in a talk hosted by a library could be risky, if the video was legal (using material covered by fair use) in the USA and</w:t>
          </w:r>
          <w:r w:rsidRPr="002462B4">
            <w:rPr>
              <w:rFonts w:ascii="Calibri" w:eastAsia="Times New Roman" w:hAnsi="Calibri" w:cs="Tahoma"/>
              <w:bCs/>
              <w:color w:val="000000"/>
              <w:lang w:eastAsia="en-GB"/>
            </w:rPr>
            <w:t xml:space="preserve"> infringing in A</w:t>
          </w:r>
          <w:r w:rsidR="00447218">
            <w:rPr>
              <w:rFonts w:ascii="Calibri" w:eastAsia="Times New Roman" w:hAnsi="Calibri" w:cs="Tahoma"/>
              <w:bCs/>
              <w:color w:val="000000"/>
              <w:lang w:eastAsia="en-GB"/>
            </w:rPr>
            <w:t xml:space="preserve">ustralia.  </w:t>
          </w:r>
          <w:r w:rsidRPr="002462B4">
            <w:rPr>
              <w:rFonts w:ascii="Calibri" w:eastAsia="Times New Roman" w:hAnsi="Calibri" w:cs="Tahoma"/>
              <w:bCs/>
              <w:color w:val="000000"/>
              <w:lang w:eastAsia="en-GB"/>
            </w:rPr>
            <w:t xml:space="preserve"> </w:t>
          </w:r>
        </w:p>
        <w:p w14:paraId="50D0343E" w14:textId="77777777" w:rsidR="0039280F" w:rsidRPr="002462B4" w:rsidRDefault="0039280F" w:rsidP="005F1DF7">
          <w:pPr>
            <w:spacing w:after="0" w:line="240" w:lineRule="auto"/>
            <w:rPr>
              <w:rFonts w:ascii="Calibri" w:eastAsia="Times New Roman" w:hAnsi="Calibri" w:cs="Tahoma"/>
              <w:bCs/>
              <w:color w:val="000000"/>
              <w:lang w:eastAsia="en-GB"/>
            </w:rPr>
          </w:pPr>
        </w:p>
        <w:p w14:paraId="31354B24" w14:textId="7C51A998" w:rsidR="0039280F" w:rsidRPr="002462B4" w:rsidRDefault="0039280F" w:rsidP="005F1DF7">
          <w:pPr>
            <w:spacing w:after="0" w:line="240" w:lineRule="auto"/>
            <w:rPr>
              <w:rFonts w:ascii="Calibri" w:eastAsia="Times New Roman" w:hAnsi="Calibri" w:cs="Tahoma"/>
              <w:bCs/>
              <w:color w:val="000000"/>
              <w:lang w:eastAsia="en-GB"/>
            </w:rPr>
          </w:pPr>
          <w:r w:rsidRPr="002462B4">
            <w:rPr>
              <w:rFonts w:ascii="Calibri" w:eastAsia="Times New Roman" w:hAnsi="Calibri" w:cs="Tahoma"/>
              <w:bCs/>
              <w:color w:val="000000"/>
              <w:lang w:eastAsia="en-GB"/>
            </w:rPr>
            <w:t xml:space="preserve">Similarly the recommendations from the </w:t>
          </w:r>
          <w:r w:rsidRPr="002462B4">
            <w:rPr>
              <w:rFonts w:ascii="Calibri" w:eastAsia="Times New Roman" w:hAnsi="Calibri" w:cs="Tahoma"/>
              <w:bCs/>
              <w:i/>
              <w:color w:val="000000"/>
              <w:lang w:eastAsia="en-GB"/>
            </w:rPr>
            <w:t>IT Pricing</w:t>
          </w:r>
          <w:r w:rsidR="0053026B">
            <w:rPr>
              <w:rStyle w:val="FootnoteReference"/>
              <w:rFonts w:ascii="Calibri" w:eastAsia="Times New Roman" w:hAnsi="Calibri" w:cs="Tahoma"/>
              <w:bCs/>
              <w:i/>
              <w:color w:val="000000"/>
              <w:lang w:eastAsia="en-GB"/>
            </w:rPr>
            <w:footnoteReference w:id="10"/>
          </w:r>
          <w:r w:rsidRPr="002462B4">
            <w:rPr>
              <w:rFonts w:ascii="Calibri" w:eastAsia="Times New Roman" w:hAnsi="Calibri" w:cs="Tahoma"/>
              <w:bCs/>
              <w:i/>
              <w:color w:val="000000"/>
              <w:lang w:eastAsia="en-GB"/>
            </w:rPr>
            <w:t xml:space="preserve"> </w:t>
          </w:r>
          <w:r w:rsidRPr="002462B4">
            <w:rPr>
              <w:rFonts w:ascii="Calibri" w:eastAsia="Times New Roman" w:hAnsi="Calibri" w:cs="Tahoma"/>
              <w:bCs/>
              <w:color w:val="000000"/>
              <w:lang w:eastAsia="en-GB"/>
            </w:rPr>
            <w:t>inquiry regarding removing legal ambiguities from some geoblocking to allow Australians to purchase legitimate content overseas</w:t>
          </w:r>
          <w:r w:rsidR="0053026B">
            <w:rPr>
              <w:rFonts w:ascii="Calibri" w:eastAsia="Times New Roman" w:hAnsi="Calibri" w:cs="Tahoma"/>
              <w:bCs/>
              <w:color w:val="000000"/>
              <w:lang w:eastAsia="en-GB"/>
            </w:rPr>
            <w:t xml:space="preserve"> should be addressed, showing commitment to addressing the pricing and availability part of the issue.  O</w:t>
          </w:r>
          <w:r w:rsidRPr="002462B4">
            <w:rPr>
              <w:rFonts w:ascii="Calibri" w:eastAsia="Times New Roman" w:hAnsi="Calibri" w:cs="Tahoma"/>
              <w:bCs/>
              <w:color w:val="000000"/>
              <w:lang w:eastAsia="en-GB"/>
            </w:rPr>
            <w:t xml:space="preserve">utstanding issues surrounding orphan works and perpetual copyright in </w:t>
          </w:r>
          <w:r w:rsidR="0053026B">
            <w:rPr>
              <w:rFonts w:ascii="Calibri" w:eastAsia="Times New Roman" w:hAnsi="Calibri" w:cs="Tahoma"/>
              <w:bCs/>
              <w:color w:val="000000"/>
              <w:lang w:eastAsia="en-GB"/>
            </w:rPr>
            <w:t>unpublished works are also currently unresolved</w:t>
          </w:r>
          <w:r w:rsidRPr="002462B4">
            <w:rPr>
              <w:rFonts w:ascii="Calibri" w:eastAsia="Times New Roman" w:hAnsi="Calibri" w:cs="Tahoma"/>
              <w:bCs/>
              <w:color w:val="000000"/>
              <w:lang w:eastAsia="en-GB"/>
            </w:rPr>
            <w:t xml:space="preserve">. </w:t>
          </w:r>
        </w:p>
        <w:p w14:paraId="4E6A3387" w14:textId="77777777" w:rsidR="0039280F" w:rsidRPr="002462B4" w:rsidRDefault="0039280F" w:rsidP="005F1DF7">
          <w:pPr>
            <w:spacing w:after="0" w:line="240" w:lineRule="auto"/>
            <w:rPr>
              <w:rFonts w:ascii="Calibri" w:eastAsia="Times New Roman" w:hAnsi="Calibri" w:cs="Tahoma"/>
              <w:bCs/>
              <w:color w:val="000000"/>
              <w:lang w:eastAsia="en-GB"/>
            </w:rPr>
          </w:pPr>
        </w:p>
        <w:p w14:paraId="5B47A52C" w14:textId="00DD15C4" w:rsidR="0039280F" w:rsidRPr="002462B4" w:rsidRDefault="0039280F" w:rsidP="005F1DF7">
          <w:pPr>
            <w:spacing w:after="0" w:line="240" w:lineRule="auto"/>
            <w:rPr>
              <w:rFonts w:ascii="Calibri" w:eastAsia="Times New Roman" w:hAnsi="Calibri" w:cs="Tahoma"/>
              <w:bCs/>
              <w:color w:val="000000"/>
              <w:lang w:eastAsia="en-GB"/>
            </w:rPr>
          </w:pPr>
          <w:r w:rsidRPr="002462B4">
            <w:rPr>
              <w:rFonts w:ascii="Calibri" w:eastAsia="Times New Roman" w:hAnsi="Calibri" w:cs="Tahoma"/>
              <w:bCs/>
              <w:color w:val="000000"/>
              <w:lang w:eastAsia="en-GB"/>
            </w:rPr>
            <w:t xml:space="preserve">Further enforcement should come in conjunction with these fundamental reforms, not at the expense of them.  Going forward we need a copyright system that will support creators, intermediaries and users, and acknowledge that the boundaries between the groups are increasingly blurred.  </w:t>
          </w:r>
        </w:p>
        <w:p w14:paraId="66986EBC" w14:textId="77777777" w:rsidR="0039280F" w:rsidRPr="002462B4" w:rsidRDefault="0039280F" w:rsidP="005F1DF7">
          <w:pPr>
            <w:spacing w:after="0" w:line="240" w:lineRule="auto"/>
            <w:rPr>
              <w:rFonts w:ascii="Calibri" w:eastAsia="Times New Roman" w:hAnsi="Calibri" w:cs="Tahoma"/>
              <w:bCs/>
              <w:color w:val="000000"/>
              <w:lang w:eastAsia="en-GB"/>
            </w:rPr>
          </w:pPr>
        </w:p>
        <w:p w14:paraId="57F7BAD4" w14:textId="44684EDA" w:rsidR="0053026B" w:rsidRPr="00221972" w:rsidRDefault="00461AAA" w:rsidP="00221972">
          <w:pPr>
            <w:spacing w:after="0" w:line="240" w:lineRule="auto"/>
            <w:rPr>
              <w:rFonts w:ascii="Calibri" w:eastAsia="Times New Roman" w:hAnsi="Calibri" w:cs="Tahoma"/>
              <w:b/>
              <w:color w:val="000000"/>
              <w:lang w:eastAsia="en-GB"/>
            </w:rPr>
          </w:pPr>
          <w:r w:rsidRPr="002462B4">
            <w:rPr>
              <w:rFonts w:ascii="Calibri" w:eastAsia="Times New Roman" w:hAnsi="Calibri" w:cs="Tahoma"/>
              <w:color w:val="000000"/>
              <w:lang w:eastAsia="en-GB"/>
            </w:rPr>
            <w:t xml:space="preserve">Overall this seems a disproportionate response.  In seeking to </w:t>
          </w:r>
          <w:r w:rsidR="00F45682">
            <w:rPr>
              <w:rFonts w:ascii="Calibri" w:eastAsia="Times New Roman" w:hAnsi="Calibri" w:cs="Tahoma"/>
              <w:color w:val="000000"/>
              <w:lang w:eastAsia="en-GB"/>
            </w:rPr>
            <w:t xml:space="preserve">impose new obligations on ISPs to </w:t>
          </w:r>
          <w:r w:rsidRPr="002462B4">
            <w:rPr>
              <w:rFonts w:ascii="Calibri" w:eastAsia="Times New Roman" w:hAnsi="Calibri" w:cs="Tahoma"/>
              <w:color w:val="000000"/>
              <w:lang w:eastAsia="en-GB"/>
            </w:rPr>
            <w:t xml:space="preserve">police copyright infringement we have a proposal that will put other intermediaries into a heightened state of legal </w:t>
          </w:r>
          <w:r w:rsidR="0039280F" w:rsidRPr="002462B4">
            <w:rPr>
              <w:rFonts w:ascii="Calibri" w:eastAsia="Times New Roman" w:hAnsi="Calibri" w:cs="Tahoma"/>
              <w:color w:val="000000"/>
              <w:lang w:eastAsia="en-GB"/>
            </w:rPr>
            <w:t xml:space="preserve">uncertainty and risk.  </w:t>
          </w:r>
          <w:r w:rsidR="0039280F" w:rsidRPr="002462B4">
            <w:rPr>
              <w:rFonts w:ascii="Calibri" w:eastAsia="Times New Roman" w:hAnsi="Calibri" w:cs="Tahoma"/>
              <w:b/>
              <w:color w:val="000000"/>
              <w:lang w:eastAsia="en-GB"/>
            </w:rPr>
            <w:t>An</w:t>
          </w:r>
          <w:r w:rsidR="003B46DC" w:rsidRPr="002462B4">
            <w:rPr>
              <w:rFonts w:ascii="Calibri" w:eastAsia="Times New Roman" w:hAnsi="Calibri" w:cs="Tahoma"/>
              <w:b/>
              <w:color w:val="000000"/>
              <w:lang w:eastAsia="en-GB"/>
            </w:rPr>
            <w:t>y</w:t>
          </w:r>
          <w:r w:rsidR="0039280F" w:rsidRPr="002462B4">
            <w:rPr>
              <w:rFonts w:ascii="Calibri" w:eastAsia="Times New Roman" w:hAnsi="Calibri" w:cs="Tahoma"/>
              <w:b/>
              <w:color w:val="000000"/>
              <w:lang w:eastAsia="en-GB"/>
            </w:rPr>
            <w:t xml:space="preserve"> increase in enforcement should be proportionate, evidence-based and be developed in conjunction with the promised simplification of the Act. </w:t>
          </w:r>
        </w:p>
        <w:p w14:paraId="55C740AA" w14:textId="77777777" w:rsidR="0053026B" w:rsidRDefault="0053026B" w:rsidP="0039280F">
          <w:pPr>
            <w:spacing w:after="0" w:line="240" w:lineRule="auto"/>
            <w:jc w:val="center"/>
            <w:rPr>
              <w:rFonts w:eastAsia="Times New Roman" w:cs="Tahoma"/>
              <w:b/>
              <w:bCs/>
              <w:color w:val="396BB8" w:themeColor="accent3" w:themeShade="BF"/>
              <w:sz w:val="28"/>
              <w:szCs w:val="28"/>
              <w:lang w:eastAsia="en-GB"/>
            </w:rPr>
          </w:pPr>
        </w:p>
        <w:p w14:paraId="6774F2F5" w14:textId="77777777" w:rsidR="005F1DF7" w:rsidRPr="0039280F" w:rsidRDefault="005F1DF7" w:rsidP="0039280F">
          <w:pPr>
            <w:spacing w:after="0" w:line="240" w:lineRule="auto"/>
            <w:jc w:val="center"/>
            <w:rPr>
              <w:rFonts w:eastAsia="Times New Roman" w:cs="Tahoma"/>
              <w:color w:val="396BB8" w:themeColor="accent3" w:themeShade="BF"/>
              <w:sz w:val="28"/>
              <w:szCs w:val="28"/>
              <w:lang w:eastAsia="en-GB"/>
            </w:rPr>
          </w:pPr>
          <w:r w:rsidRPr="0039280F">
            <w:rPr>
              <w:rFonts w:eastAsia="Times New Roman" w:cs="Tahoma"/>
              <w:b/>
              <w:bCs/>
              <w:color w:val="396BB8" w:themeColor="accent3" w:themeShade="BF"/>
              <w:sz w:val="28"/>
              <w:szCs w:val="28"/>
              <w:lang w:eastAsia="en-GB"/>
            </w:rPr>
            <w:t>Website Blocking</w:t>
          </w:r>
        </w:p>
        <w:p w14:paraId="45479F31" w14:textId="01A663A6" w:rsidR="008F23E5" w:rsidRDefault="007440E4" w:rsidP="009E1C36">
          <w:pPr>
            <w:spacing w:after="0" w:line="240" w:lineRule="auto"/>
            <w:rPr>
              <w:rFonts w:ascii="Calibri" w:eastAsia="Times New Roman" w:hAnsi="Calibri" w:cs="Tahoma"/>
              <w:color w:val="000000"/>
              <w:lang w:eastAsia="en-GB"/>
            </w:rPr>
          </w:pPr>
          <w:r w:rsidRPr="00FA179B">
            <w:rPr>
              <w:rFonts w:ascii="Calibri" w:eastAsia="Times New Roman" w:hAnsi="Calibri" w:cs="Tahoma"/>
              <w:color w:val="000000"/>
              <w:lang w:eastAsia="en-GB"/>
            </w:rPr>
            <w:t xml:space="preserve">We welcome the acknowledgement of the </w:t>
          </w:r>
          <w:r w:rsidR="003B46DC" w:rsidRPr="00FA179B">
            <w:rPr>
              <w:rFonts w:ascii="Calibri" w:eastAsia="Times New Roman" w:hAnsi="Calibri" w:cs="Tahoma"/>
              <w:color w:val="000000"/>
              <w:lang w:eastAsia="en-GB"/>
            </w:rPr>
            <w:t xml:space="preserve">potential </w:t>
          </w:r>
          <w:r w:rsidRPr="00FA179B">
            <w:rPr>
              <w:rFonts w:ascii="Calibri" w:eastAsia="Times New Roman" w:hAnsi="Calibri" w:cs="Tahoma"/>
              <w:color w:val="000000"/>
              <w:lang w:eastAsia="en-GB"/>
            </w:rPr>
            <w:t xml:space="preserve">dangers of </w:t>
          </w:r>
          <w:r w:rsidR="00F44BB2">
            <w:rPr>
              <w:rFonts w:ascii="Calibri" w:eastAsia="Times New Roman" w:hAnsi="Calibri" w:cs="Tahoma"/>
              <w:color w:val="000000"/>
              <w:lang w:eastAsia="en-GB"/>
            </w:rPr>
            <w:t xml:space="preserve">blocking </w:t>
          </w:r>
          <w:r w:rsidR="003B46DC" w:rsidRPr="00FA179B">
            <w:rPr>
              <w:rFonts w:ascii="Calibri" w:eastAsia="Times New Roman" w:hAnsi="Calibri" w:cs="Tahoma"/>
              <w:color w:val="000000"/>
              <w:lang w:eastAsia="en-GB"/>
            </w:rPr>
            <w:t xml:space="preserve">a </w:t>
          </w:r>
          <w:r w:rsidRPr="00FA179B">
            <w:rPr>
              <w:rFonts w:ascii="Calibri" w:eastAsia="Times New Roman" w:hAnsi="Calibri" w:cs="Tahoma"/>
              <w:color w:val="000000"/>
              <w:lang w:eastAsia="en-GB"/>
            </w:rPr>
            <w:t xml:space="preserve">website </w:t>
          </w:r>
          <w:r w:rsidR="008F23E5">
            <w:rPr>
              <w:rFonts w:ascii="Calibri" w:eastAsia="Times New Roman" w:hAnsi="Calibri" w:cs="Tahoma"/>
              <w:color w:val="000000"/>
              <w:lang w:eastAsia="en-GB"/>
            </w:rPr>
            <w:t>ranging</w:t>
          </w:r>
          <w:r w:rsidR="003B46DC" w:rsidRPr="00FA179B">
            <w:rPr>
              <w:rFonts w:ascii="Calibri" w:eastAsia="Times New Roman" w:hAnsi="Calibri" w:cs="Tahoma"/>
              <w:color w:val="000000"/>
              <w:lang w:eastAsia="en-GB"/>
            </w:rPr>
            <w:t xml:space="preserve"> from mistakes</w:t>
          </w:r>
          <w:r w:rsidR="003B46DC" w:rsidRPr="00FA179B">
            <w:rPr>
              <w:rStyle w:val="FootnoteReference"/>
              <w:rFonts w:ascii="Calibri" w:eastAsia="Times New Roman" w:hAnsi="Calibri" w:cs="Tahoma"/>
              <w:color w:val="000000"/>
              <w:lang w:eastAsia="en-GB"/>
            </w:rPr>
            <w:footnoteReference w:id="11"/>
          </w:r>
          <w:r w:rsidR="003B46DC" w:rsidRPr="00FA179B">
            <w:rPr>
              <w:rFonts w:ascii="Calibri" w:eastAsia="Times New Roman" w:hAnsi="Calibri" w:cs="Tahoma"/>
              <w:color w:val="000000"/>
              <w:lang w:eastAsia="en-GB"/>
            </w:rPr>
            <w:t xml:space="preserve"> through to the deliberate suppression of speech.</w:t>
          </w:r>
          <w:r w:rsidR="003B46DC" w:rsidRPr="00FA179B">
            <w:rPr>
              <w:rStyle w:val="FootnoteReference"/>
              <w:rFonts w:ascii="Calibri" w:eastAsia="Times New Roman" w:hAnsi="Calibri" w:cs="Tahoma"/>
              <w:color w:val="000000"/>
              <w:lang w:eastAsia="en-GB"/>
            </w:rPr>
            <w:footnoteReference w:id="12"/>
          </w:r>
          <w:r w:rsidR="003B46DC" w:rsidRPr="00FA179B">
            <w:rPr>
              <w:rFonts w:ascii="Calibri" w:eastAsia="Times New Roman" w:hAnsi="Calibri" w:cs="Tahoma"/>
              <w:color w:val="000000"/>
              <w:lang w:eastAsia="en-GB"/>
            </w:rPr>
            <w:t xml:space="preserve">  </w:t>
          </w:r>
          <w:r w:rsidR="00DF3E72">
            <w:rPr>
              <w:rFonts w:ascii="Calibri" w:eastAsia="Times New Roman" w:hAnsi="Calibri" w:cs="Tahoma"/>
              <w:color w:val="000000"/>
              <w:lang w:eastAsia="en-GB"/>
            </w:rPr>
            <w:t xml:space="preserve">Overseas, website blocking has been proven to increase </w:t>
          </w:r>
          <w:r w:rsidR="00DF3E72">
            <w:rPr>
              <w:rFonts w:ascii="Calibri" w:eastAsia="Times New Roman" w:hAnsi="Calibri" w:cs="Tahoma"/>
              <w:color w:val="000000"/>
              <w:lang w:eastAsia="en-GB"/>
            </w:rPr>
            <w:lastRenderedPageBreak/>
            <w:t>compliance costs while being ineffective at reducing infringement.</w:t>
          </w:r>
          <w:r w:rsidR="002462B4">
            <w:rPr>
              <w:rStyle w:val="FootnoteReference"/>
              <w:rFonts w:ascii="Calibri" w:eastAsia="Times New Roman" w:hAnsi="Calibri" w:cs="Tahoma"/>
              <w:color w:val="000000"/>
              <w:lang w:eastAsia="en-GB"/>
            </w:rPr>
            <w:footnoteReference w:id="13"/>
          </w:r>
          <w:r w:rsidR="002462B4">
            <w:rPr>
              <w:rFonts w:ascii="Calibri" w:eastAsia="Times New Roman" w:hAnsi="Calibri" w:cs="Tahoma"/>
              <w:color w:val="000000"/>
              <w:lang w:eastAsia="en-GB"/>
            </w:rPr>
            <w:t xml:space="preserve"> </w:t>
          </w:r>
          <w:r w:rsidR="002670F3">
            <w:rPr>
              <w:rFonts w:ascii="Calibri" w:eastAsia="Times New Roman" w:hAnsi="Calibri" w:cs="Tahoma"/>
              <w:color w:val="000000"/>
              <w:lang w:eastAsia="en-GB"/>
            </w:rPr>
            <w:t>The cost/benefit analysis suggests that</w:t>
          </w:r>
          <w:r w:rsidR="002462B4">
            <w:rPr>
              <w:rFonts w:ascii="Calibri" w:eastAsia="Times New Roman" w:hAnsi="Calibri" w:cs="Tahoma"/>
              <w:color w:val="000000"/>
              <w:lang w:eastAsia="en-GB"/>
            </w:rPr>
            <w:t xml:space="preserve"> website </w:t>
          </w:r>
          <w:r w:rsidR="00F44BB2">
            <w:rPr>
              <w:rFonts w:ascii="Calibri" w:eastAsia="Times New Roman" w:hAnsi="Calibri" w:cs="Tahoma"/>
              <w:color w:val="000000"/>
              <w:lang w:eastAsia="en-GB"/>
            </w:rPr>
            <w:t xml:space="preserve">blocking </w:t>
          </w:r>
          <w:r w:rsidR="002462B4">
            <w:rPr>
              <w:rFonts w:ascii="Calibri" w:eastAsia="Times New Roman" w:hAnsi="Calibri" w:cs="Tahoma"/>
              <w:color w:val="000000"/>
              <w:lang w:eastAsia="en-GB"/>
            </w:rPr>
            <w:t xml:space="preserve">should only be </w:t>
          </w:r>
          <w:r w:rsidR="002670F3">
            <w:rPr>
              <w:rFonts w:ascii="Calibri" w:eastAsia="Times New Roman" w:hAnsi="Calibri" w:cs="Tahoma"/>
              <w:color w:val="000000"/>
              <w:lang w:eastAsia="en-GB"/>
            </w:rPr>
            <w:t xml:space="preserve">used </w:t>
          </w:r>
          <w:r w:rsidR="009E1C36">
            <w:rPr>
              <w:rFonts w:ascii="Calibri" w:eastAsia="Times New Roman" w:hAnsi="Calibri" w:cs="Tahoma"/>
              <w:color w:val="000000"/>
              <w:lang w:eastAsia="en-GB"/>
            </w:rPr>
            <w:t>in special cases.</w:t>
          </w:r>
          <w:r w:rsidR="002462B4">
            <w:rPr>
              <w:rFonts w:ascii="Calibri" w:eastAsia="Times New Roman" w:hAnsi="Calibri" w:cs="Tahoma"/>
              <w:color w:val="000000"/>
              <w:lang w:eastAsia="en-GB"/>
            </w:rPr>
            <w:t xml:space="preserve"> </w:t>
          </w:r>
          <w:r w:rsidR="008F23E5">
            <w:rPr>
              <w:rFonts w:ascii="Calibri" w:eastAsia="Times New Roman" w:hAnsi="Calibri" w:cs="Tahoma"/>
              <w:color w:val="000000"/>
              <w:lang w:eastAsia="en-GB"/>
            </w:rPr>
            <w:t xml:space="preserve">We </w:t>
          </w:r>
          <w:r w:rsidR="004C5A20">
            <w:rPr>
              <w:rFonts w:ascii="Calibri" w:eastAsia="Times New Roman" w:hAnsi="Calibri" w:cs="Tahoma"/>
              <w:color w:val="000000"/>
              <w:lang w:eastAsia="en-GB"/>
            </w:rPr>
            <w:t>support the proposition</w:t>
          </w:r>
          <w:r w:rsidR="008F23E5">
            <w:rPr>
              <w:rFonts w:ascii="Calibri" w:eastAsia="Times New Roman" w:hAnsi="Calibri" w:cs="Tahoma"/>
              <w:color w:val="000000"/>
              <w:lang w:eastAsia="en-GB"/>
            </w:rPr>
            <w:t xml:space="preserve"> that any website blocking </w:t>
          </w:r>
          <w:r w:rsidR="004C5A20">
            <w:rPr>
              <w:rFonts w:ascii="Calibri" w:eastAsia="Times New Roman" w:hAnsi="Calibri" w:cs="Tahoma"/>
              <w:color w:val="000000"/>
              <w:lang w:eastAsia="en-GB"/>
            </w:rPr>
            <w:t xml:space="preserve">is </w:t>
          </w:r>
          <w:r w:rsidR="008F23E5">
            <w:rPr>
              <w:rFonts w:ascii="Calibri" w:eastAsia="Times New Roman" w:hAnsi="Calibri" w:cs="Tahoma"/>
              <w:color w:val="000000"/>
              <w:lang w:eastAsia="en-GB"/>
            </w:rPr>
            <w:t xml:space="preserve">done through injunctive processes in the courts.  </w:t>
          </w:r>
        </w:p>
        <w:p w14:paraId="598DB029" w14:textId="77777777" w:rsidR="008F23E5" w:rsidRDefault="008F23E5" w:rsidP="005F1DF7">
          <w:pPr>
            <w:spacing w:after="0" w:line="240" w:lineRule="auto"/>
            <w:rPr>
              <w:rFonts w:ascii="Calibri" w:eastAsia="Times New Roman" w:hAnsi="Calibri" w:cs="Tahoma"/>
              <w:color w:val="000000"/>
              <w:lang w:eastAsia="en-GB"/>
            </w:rPr>
          </w:pPr>
        </w:p>
        <w:p w14:paraId="0A928AB1" w14:textId="606EF37C" w:rsidR="003B46DC" w:rsidRPr="002462B4" w:rsidRDefault="008F23E5" w:rsidP="005F1DF7">
          <w:pPr>
            <w:spacing w:after="0" w:line="240" w:lineRule="auto"/>
            <w:rPr>
              <w:rFonts w:ascii="Calibri" w:eastAsia="Times New Roman" w:hAnsi="Calibri" w:cs="Tahoma"/>
              <w:color w:val="000000"/>
              <w:lang w:eastAsia="en-GB"/>
            </w:rPr>
          </w:pPr>
          <w:r>
            <w:rPr>
              <w:rFonts w:ascii="Calibri" w:eastAsia="Times New Roman" w:hAnsi="Calibri" w:cs="Tahoma"/>
              <w:color w:val="000000"/>
              <w:lang w:eastAsia="en-GB"/>
            </w:rPr>
            <w:t xml:space="preserve">We </w:t>
          </w:r>
          <w:r w:rsidRPr="002462B4">
            <w:rPr>
              <w:rFonts w:ascii="Calibri" w:eastAsia="Times New Roman" w:hAnsi="Calibri" w:cs="Tahoma"/>
              <w:color w:val="000000"/>
              <w:lang w:eastAsia="en-GB"/>
            </w:rPr>
            <w:t xml:space="preserve">also support the moves to ensure that there is a burden of proof on the rights holders to establish the evidentiary threshold.  This is particularly important as overseas websites and potentially ISPs are unlikely to strongly contest the claim.  One suggestion may be to allow consumer groups or special representatives to appear in otherwise uncontested cases.  </w:t>
          </w:r>
        </w:p>
        <w:p w14:paraId="61B4A3F8" w14:textId="158E6B51" w:rsidR="008F23E5" w:rsidRPr="002462B4" w:rsidRDefault="002462B4" w:rsidP="002462B4">
          <w:pPr>
            <w:tabs>
              <w:tab w:val="left" w:pos="1782"/>
            </w:tabs>
            <w:spacing w:after="0" w:line="240" w:lineRule="auto"/>
            <w:rPr>
              <w:rFonts w:ascii="Calibri" w:eastAsia="Times New Roman" w:hAnsi="Calibri" w:cs="Tahoma"/>
              <w:color w:val="000000"/>
              <w:lang w:eastAsia="en-GB"/>
            </w:rPr>
          </w:pPr>
          <w:r w:rsidRPr="002462B4">
            <w:rPr>
              <w:rFonts w:ascii="Calibri" w:eastAsia="Times New Roman" w:hAnsi="Calibri" w:cs="Tahoma"/>
              <w:color w:val="000000"/>
              <w:lang w:eastAsia="en-GB"/>
            </w:rPr>
            <w:tab/>
          </w:r>
        </w:p>
        <w:p w14:paraId="5F95652D" w14:textId="0DF3840C" w:rsidR="002462B4" w:rsidRDefault="008F23E5" w:rsidP="008F23E5">
          <w:pPr>
            <w:spacing w:after="0" w:line="240" w:lineRule="auto"/>
            <w:rPr>
              <w:rFonts w:ascii="Calibri" w:eastAsia="Times New Roman" w:hAnsi="Calibri"/>
              <w:w w:val="105"/>
              <w:kern w:val="40"/>
              <w:lang w:eastAsia="en-AU"/>
            </w:rPr>
          </w:pPr>
          <w:r w:rsidRPr="002462B4">
            <w:rPr>
              <w:rFonts w:ascii="Calibri" w:eastAsia="Times New Roman" w:hAnsi="Calibri" w:cs="Tahoma"/>
              <w:color w:val="000000"/>
              <w:lang w:eastAsia="en-GB"/>
            </w:rPr>
            <w:t xml:space="preserve">It is important that judgments or at least reasons are </w:t>
          </w:r>
          <w:r w:rsidR="002462B4">
            <w:rPr>
              <w:rFonts w:ascii="Calibri" w:eastAsia="Times New Roman" w:hAnsi="Calibri" w:cs="Tahoma"/>
              <w:color w:val="000000"/>
              <w:lang w:eastAsia="en-GB"/>
            </w:rPr>
            <w:t xml:space="preserve">made public.  </w:t>
          </w:r>
          <w:r w:rsidRPr="002462B4">
            <w:rPr>
              <w:rFonts w:ascii="Calibri" w:eastAsia="Times New Roman" w:hAnsi="Calibri" w:cs="Tahoma"/>
              <w:color w:val="000000"/>
              <w:lang w:eastAsia="en-GB"/>
            </w:rPr>
            <w:t>This will also help ensure that other considerations referred to in the discussions paper, the ‘</w:t>
          </w:r>
          <w:r w:rsidRPr="002462B4">
            <w:rPr>
              <w:rFonts w:ascii="Calibri" w:eastAsia="Times New Roman" w:hAnsi="Calibri"/>
              <w:w w:val="105"/>
              <w:kern w:val="40"/>
              <w:lang w:eastAsia="en-AU"/>
            </w:rPr>
            <w:t xml:space="preserve">rights of any person likely to be affected by the grant of an injunction, whether an injunction is a proportionate response, and the importance of freedom of expression’ have been considered.  </w:t>
          </w:r>
          <w:r w:rsidR="002462B4" w:rsidRPr="002462B4">
            <w:rPr>
              <w:rFonts w:ascii="Calibri" w:eastAsia="Times New Roman" w:hAnsi="Calibri"/>
              <w:w w:val="105"/>
              <w:kern w:val="40"/>
              <w:lang w:eastAsia="en-AU"/>
            </w:rPr>
            <w:t xml:space="preserve">These considerations should be prescribed as factors to be taken into account.  </w:t>
          </w:r>
        </w:p>
        <w:p w14:paraId="342AD861" w14:textId="77777777" w:rsidR="002462B4" w:rsidRDefault="002462B4" w:rsidP="008F23E5">
          <w:pPr>
            <w:spacing w:after="0" w:line="240" w:lineRule="auto"/>
            <w:rPr>
              <w:rFonts w:ascii="Calibri" w:eastAsia="Times New Roman" w:hAnsi="Calibri"/>
              <w:w w:val="105"/>
              <w:kern w:val="40"/>
              <w:lang w:eastAsia="en-AU"/>
            </w:rPr>
          </w:pPr>
        </w:p>
        <w:p w14:paraId="16EB909F" w14:textId="732C92EB" w:rsidR="002462B4" w:rsidRDefault="002462B4" w:rsidP="008F23E5">
          <w:pPr>
            <w:spacing w:after="0" w:line="240" w:lineRule="auto"/>
            <w:rPr>
              <w:rFonts w:ascii="Calibri" w:eastAsia="Times New Roman" w:hAnsi="Calibri"/>
              <w:w w:val="105"/>
              <w:kern w:val="40"/>
              <w:lang w:eastAsia="en-AU"/>
            </w:rPr>
          </w:pPr>
          <w:r>
            <w:rPr>
              <w:rFonts w:ascii="Calibri" w:eastAsia="Times New Roman" w:hAnsi="Calibri"/>
              <w:w w:val="105"/>
              <w:kern w:val="40"/>
              <w:lang w:eastAsia="en-AU"/>
            </w:rPr>
            <w:t xml:space="preserve">Overall, again it would be better to proceed on the basis of evidence of working schemes from overseas (there are many examples to choose from).  Should this proposal proceed, we support the mechanisms in place to ensure transparency and protect against abuse, and would like to see them strengthened, especially around the areas of transparency. </w:t>
          </w:r>
        </w:p>
        <w:p w14:paraId="449715D0" w14:textId="77777777" w:rsidR="002462B4" w:rsidRDefault="002462B4" w:rsidP="008F23E5">
          <w:pPr>
            <w:spacing w:after="0" w:line="240" w:lineRule="auto"/>
            <w:rPr>
              <w:rFonts w:ascii="Calibri" w:eastAsia="Times New Roman" w:hAnsi="Calibri"/>
              <w:w w:val="105"/>
              <w:kern w:val="40"/>
              <w:lang w:eastAsia="en-AU"/>
            </w:rPr>
          </w:pPr>
        </w:p>
        <w:p w14:paraId="100D30B8" w14:textId="74A7AE71" w:rsidR="002462B4" w:rsidRDefault="00590D75" w:rsidP="00590D75">
          <w:pPr>
            <w:spacing w:after="0" w:line="240" w:lineRule="auto"/>
            <w:jc w:val="center"/>
            <w:rPr>
              <w:rFonts w:ascii="Calibri" w:eastAsia="Times New Roman" w:hAnsi="Calibri"/>
              <w:b/>
              <w:color w:val="396BB8" w:themeColor="accent3" w:themeShade="BF"/>
              <w:w w:val="105"/>
              <w:kern w:val="40"/>
              <w:sz w:val="28"/>
              <w:szCs w:val="28"/>
              <w:lang w:eastAsia="en-AU"/>
            </w:rPr>
          </w:pPr>
          <w:r>
            <w:rPr>
              <w:rFonts w:ascii="Calibri" w:eastAsia="Times New Roman" w:hAnsi="Calibri"/>
              <w:b/>
              <w:color w:val="396BB8" w:themeColor="accent3" w:themeShade="BF"/>
              <w:w w:val="105"/>
              <w:kern w:val="40"/>
              <w:sz w:val="28"/>
              <w:szCs w:val="28"/>
              <w:lang w:eastAsia="en-AU"/>
            </w:rPr>
            <w:t>Extension of s</w:t>
          </w:r>
          <w:r w:rsidR="002462B4">
            <w:rPr>
              <w:rFonts w:ascii="Calibri" w:eastAsia="Times New Roman" w:hAnsi="Calibri"/>
              <w:b/>
              <w:color w:val="396BB8" w:themeColor="accent3" w:themeShade="BF"/>
              <w:w w:val="105"/>
              <w:kern w:val="40"/>
              <w:sz w:val="28"/>
              <w:szCs w:val="28"/>
              <w:lang w:eastAsia="en-AU"/>
            </w:rPr>
            <w:t>afe</w:t>
          </w:r>
          <w:r>
            <w:rPr>
              <w:rFonts w:ascii="Calibri" w:eastAsia="Times New Roman" w:hAnsi="Calibri"/>
              <w:b/>
              <w:color w:val="396BB8" w:themeColor="accent3" w:themeShade="BF"/>
              <w:w w:val="105"/>
              <w:kern w:val="40"/>
              <w:sz w:val="28"/>
              <w:szCs w:val="28"/>
              <w:lang w:eastAsia="en-AU"/>
            </w:rPr>
            <w:t xml:space="preserve"> </w:t>
          </w:r>
          <w:r w:rsidR="002462B4">
            <w:rPr>
              <w:rFonts w:ascii="Calibri" w:eastAsia="Times New Roman" w:hAnsi="Calibri"/>
              <w:b/>
              <w:color w:val="396BB8" w:themeColor="accent3" w:themeShade="BF"/>
              <w:w w:val="105"/>
              <w:kern w:val="40"/>
              <w:sz w:val="28"/>
              <w:szCs w:val="28"/>
              <w:lang w:eastAsia="en-AU"/>
            </w:rPr>
            <w:t>harbours</w:t>
          </w:r>
        </w:p>
        <w:p w14:paraId="5E4C5E30" w14:textId="77777777" w:rsidR="006A1DDB" w:rsidRDefault="00590D75" w:rsidP="00590D75">
          <w:pPr>
            <w:spacing w:after="0" w:line="240" w:lineRule="auto"/>
            <w:rPr>
              <w:rFonts w:ascii="Calibri" w:eastAsia="Times New Roman" w:hAnsi="Calibri"/>
              <w:color w:val="000000" w:themeColor="text1"/>
              <w:w w:val="105"/>
              <w:kern w:val="40"/>
              <w:lang w:eastAsia="en-AU"/>
            </w:rPr>
          </w:pPr>
          <w:r w:rsidRPr="006A1DDB">
            <w:rPr>
              <w:rFonts w:ascii="Calibri" w:eastAsia="Times New Roman" w:hAnsi="Calibri"/>
              <w:color w:val="000000" w:themeColor="text1"/>
              <w:w w:val="105"/>
              <w:kern w:val="40"/>
              <w:lang w:eastAsia="en-AU"/>
            </w:rPr>
            <w:t xml:space="preserve">The ADA welcomes the proposal to extend safe harbours to the wider range of intermediaries covered by ‘service providers’.  </w:t>
          </w:r>
        </w:p>
        <w:p w14:paraId="78184591" w14:textId="77777777" w:rsidR="006A1DDB" w:rsidRDefault="006A1DDB" w:rsidP="00590D75">
          <w:pPr>
            <w:spacing w:after="0" w:line="240" w:lineRule="auto"/>
            <w:rPr>
              <w:rFonts w:ascii="Calibri" w:eastAsia="Times New Roman" w:hAnsi="Calibri"/>
              <w:color w:val="000000" w:themeColor="text1"/>
              <w:w w:val="105"/>
              <w:kern w:val="40"/>
              <w:lang w:eastAsia="en-AU"/>
            </w:rPr>
          </w:pPr>
        </w:p>
        <w:p w14:paraId="5631BB3E" w14:textId="2E97EA67" w:rsidR="006A1DDB" w:rsidRDefault="006A1DDB" w:rsidP="00590D75">
          <w:pPr>
            <w:spacing w:after="0" w:line="240" w:lineRule="auto"/>
            <w:rPr>
              <w:rFonts w:ascii="Calibri" w:eastAsia="Times New Roman" w:hAnsi="Calibri"/>
              <w:color w:val="000000" w:themeColor="text1"/>
              <w:w w:val="105"/>
              <w:kern w:val="40"/>
              <w:lang w:eastAsia="en-AU"/>
            </w:rPr>
          </w:pPr>
          <w:r>
            <w:rPr>
              <w:rFonts w:ascii="Calibri" w:eastAsia="Times New Roman" w:hAnsi="Calibri"/>
              <w:color w:val="000000" w:themeColor="text1"/>
              <w:w w:val="105"/>
              <w:kern w:val="40"/>
              <w:lang w:eastAsia="en-AU"/>
            </w:rPr>
            <w:t>As we stated in out submission to the 2011 Attorney-General’s Consultation Paper:</w:t>
          </w:r>
        </w:p>
        <w:p w14:paraId="7329FE78" w14:textId="77777777" w:rsidR="006A1DDB" w:rsidRDefault="006A1DDB" w:rsidP="006A1DDB">
          <w:pPr>
            <w:spacing w:after="0" w:line="240" w:lineRule="auto"/>
            <w:ind w:left="720"/>
            <w:rPr>
              <w:rFonts w:ascii="Calibri" w:eastAsia="Times New Roman" w:hAnsi="Calibri"/>
              <w:color w:val="000000" w:themeColor="text1"/>
              <w:w w:val="105"/>
              <w:kern w:val="40"/>
              <w:lang w:eastAsia="en-AU"/>
            </w:rPr>
          </w:pPr>
          <w:r w:rsidRPr="006A1DDB">
            <w:rPr>
              <w:rFonts w:ascii="Calibri" w:eastAsia="Times New Roman" w:hAnsi="Calibri"/>
              <w:color w:val="000000" w:themeColor="text1"/>
              <w:w w:val="105"/>
              <w:kern w:val="40"/>
              <w:lang w:eastAsia="en-AU"/>
            </w:rPr>
            <w:t>The lack of a safe harbour for the range of service providers contem</w:t>
          </w:r>
          <w:r>
            <w:rPr>
              <w:rFonts w:ascii="Calibri" w:eastAsia="Times New Roman" w:hAnsi="Calibri"/>
              <w:color w:val="000000" w:themeColor="text1"/>
              <w:w w:val="105"/>
              <w:kern w:val="40"/>
              <w:lang w:eastAsia="en-AU"/>
            </w:rPr>
            <w:t xml:space="preserve">plated by the Australia-United </w:t>
          </w:r>
          <w:r w:rsidRPr="006A1DDB">
            <w:rPr>
              <w:rFonts w:ascii="Calibri" w:eastAsia="Times New Roman" w:hAnsi="Calibri"/>
              <w:color w:val="000000" w:themeColor="text1"/>
              <w:w w:val="105"/>
              <w:kern w:val="40"/>
              <w:lang w:eastAsia="en-AU"/>
            </w:rPr>
            <w:t>States Free Trade Agreement (AUSFTA) is a serious impediment to the</w:t>
          </w:r>
          <w:r>
            <w:rPr>
              <w:rFonts w:ascii="Calibri" w:eastAsia="Times New Roman" w:hAnsi="Calibri"/>
              <w:color w:val="000000" w:themeColor="text1"/>
              <w:w w:val="105"/>
              <w:kern w:val="40"/>
              <w:lang w:eastAsia="en-AU"/>
            </w:rPr>
            <w:t xml:space="preserve"> growth of Australia's digital </w:t>
          </w:r>
          <w:r w:rsidRPr="006A1DDB">
            <w:rPr>
              <w:rFonts w:ascii="Calibri" w:eastAsia="Times New Roman" w:hAnsi="Calibri"/>
              <w:color w:val="000000" w:themeColor="text1"/>
              <w:w w:val="105"/>
              <w:kern w:val="40"/>
              <w:lang w:eastAsia="en-AU"/>
            </w:rPr>
            <w:t>economy. Common activities - transmitting data, caching, hosting an</w:t>
          </w:r>
          <w:r>
            <w:rPr>
              <w:rFonts w:ascii="Calibri" w:eastAsia="Times New Roman" w:hAnsi="Calibri"/>
              <w:color w:val="000000" w:themeColor="text1"/>
              <w:w w:val="105"/>
              <w:kern w:val="40"/>
              <w:lang w:eastAsia="en-AU"/>
            </w:rPr>
            <w:t xml:space="preserve">d referring users to an online </w:t>
          </w:r>
          <w:r w:rsidRPr="006A1DDB">
            <w:rPr>
              <w:rFonts w:ascii="Calibri" w:eastAsia="Times New Roman" w:hAnsi="Calibri"/>
              <w:color w:val="000000" w:themeColor="text1"/>
              <w:w w:val="105"/>
              <w:kern w:val="40"/>
              <w:lang w:eastAsia="en-AU"/>
            </w:rPr>
            <w:t>location - where service providers do not control, initiate or direct th</w:t>
          </w:r>
          <w:r>
            <w:rPr>
              <w:rFonts w:ascii="Calibri" w:eastAsia="Times New Roman" w:hAnsi="Calibri"/>
              <w:color w:val="000000" w:themeColor="text1"/>
              <w:w w:val="105"/>
              <w:kern w:val="40"/>
              <w:lang w:eastAsia="en-AU"/>
            </w:rPr>
            <w:t xml:space="preserve">e users' online activities are </w:t>
          </w:r>
          <w:r w:rsidRPr="006A1DDB">
            <w:rPr>
              <w:rFonts w:ascii="Calibri" w:eastAsia="Times New Roman" w:hAnsi="Calibri"/>
              <w:color w:val="000000" w:themeColor="text1"/>
              <w:w w:val="105"/>
              <w:kern w:val="40"/>
              <w:lang w:eastAsia="en-AU"/>
            </w:rPr>
            <w:t>currently not covered by the scheme. Currently, ADA and ALCC m</w:t>
          </w:r>
          <w:r>
            <w:rPr>
              <w:rFonts w:ascii="Calibri" w:eastAsia="Times New Roman" w:hAnsi="Calibri"/>
              <w:color w:val="000000" w:themeColor="text1"/>
              <w:w w:val="105"/>
              <w:kern w:val="40"/>
              <w:lang w:eastAsia="en-AU"/>
            </w:rPr>
            <w:t xml:space="preserve">embers including universities, </w:t>
          </w:r>
          <w:r w:rsidRPr="006A1DDB">
            <w:rPr>
              <w:rFonts w:ascii="Calibri" w:eastAsia="Times New Roman" w:hAnsi="Calibri"/>
              <w:color w:val="000000" w:themeColor="text1"/>
              <w:w w:val="105"/>
              <w:kern w:val="40"/>
              <w:lang w:eastAsia="en-AU"/>
            </w:rPr>
            <w:t>libraries, schools, cultural institutions and IT companies provide</w:t>
          </w:r>
          <w:r>
            <w:rPr>
              <w:rFonts w:ascii="Calibri" w:eastAsia="Times New Roman" w:hAnsi="Calibri"/>
              <w:color w:val="000000" w:themeColor="text1"/>
              <w:w w:val="105"/>
              <w:kern w:val="40"/>
              <w:lang w:eastAsia="en-AU"/>
            </w:rPr>
            <w:t xml:space="preserve"> internet services without the </w:t>
          </w:r>
          <w:r w:rsidRPr="006A1DDB">
            <w:rPr>
              <w:rFonts w:ascii="Calibri" w:eastAsia="Times New Roman" w:hAnsi="Calibri"/>
              <w:color w:val="000000" w:themeColor="text1"/>
              <w:w w:val="105"/>
              <w:kern w:val="40"/>
              <w:lang w:eastAsia="en-AU"/>
            </w:rPr>
            <w:t>benefit of the same safe harbour as their equivalents overseas.</w:t>
          </w:r>
          <w:r>
            <w:rPr>
              <w:rStyle w:val="FootnoteReference"/>
              <w:rFonts w:ascii="Calibri" w:eastAsia="Times New Roman" w:hAnsi="Calibri"/>
              <w:color w:val="000000" w:themeColor="text1"/>
              <w:w w:val="105"/>
              <w:kern w:val="40"/>
              <w:lang w:eastAsia="en-AU"/>
            </w:rPr>
            <w:footnoteReference w:id="14"/>
          </w:r>
          <w:r w:rsidRPr="006A1DDB">
            <w:rPr>
              <w:rFonts w:ascii="Calibri" w:eastAsia="Times New Roman" w:hAnsi="Calibri"/>
              <w:color w:val="000000" w:themeColor="text1"/>
              <w:w w:val="105"/>
              <w:kern w:val="40"/>
              <w:lang w:eastAsia="en-AU"/>
            </w:rPr>
            <w:t xml:space="preserve"> </w:t>
          </w:r>
        </w:p>
        <w:p w14:paraId="4A607C63" w14:textId="77777777" w:rsidR="006A1DDB" w:rsidRDefault="006A1DDB" w:rsidP="006A1DDB">
          <w:pPr>
            <w:spacing w:after="0" w:line="240" w:lineRule="auto"/>
            <w:ind w:left="720"/>
            <w:rPr>
              <w:rFonts w:ascii="Calibri" w:eastAsia="Times New Roman" w:hAnsi="Calibri"/>
              <w:color w:val="000000" w:themeColor="text1"/>
              <w:w w:val="105"/>
              <w:kern w:val="40"/>
              <w:lang w:eastAsia="en-AU"/>
            </w:rPr>
          </w:pPr>
        </w:p>
        <w:p w14:paraId="7290B150" w14:textId="64EFA3DA" w:rsidR="006A1DDB" w:rsidRDefault="006A1DDB" w:rsidP="00F95646">
          <w:pPr>
            <w:spacing w:after="0" w:line="240" w:lineRule="auto"/>
            <w:rPr>
              <w:rFonts w:ascii="Calibri" w:eastAsia="Times New Roman" w:hAnsi="Calibri"/>
              <w:color w:val="000000" w:themeColor="text1"/>
              <w:w w:val="105"/>
              <w:kern w:val="40"/>
              <w:lang w:eastAsia="en-AU"/>
            </w:rPr>
          </w:pPr>
          <w:r>
            <w:rPr>
              <w:rFonts w:ascii="Calibri" w:eastAsia="Times New Roman" w:hAnsi="Calibri"/>
              <w:color w:val="000000" w:themeColor="text1"/>
              <w:w w:val="105"/>
              <w:kern w:val="40"/>
              <w:lang w:eastAsia="en-AU"/>
            </w:rPr>
            <w:t>In that submission we suggested using the definitions provided in AUSFTA,</w:t>
          </w:r>
          <w:r>
            <w:rPr>
              <w:rStyle w:val="FootnoteReference"/>
              <w:rFonts w:ascii="Calibri" w:eastAsia="Times New Roman" w:hAnsi="Calibri"/>
              <w:color w:val="000000" w:themeColor="text1"/>
              <w:w w:val="105"/>
              <w:kern w:val="40"/>
              <w:lang w:eastAsia="en-AU"/>
            </w:rPr>
            <w:footnoteReference w:id="15"/>
          </w:r>
          <w:r>
            <w:rPr>
              <w:rFonts w:ascii="Calibri" w:eastAsia="Times New Roman" w:hAnsi="Calibri"/>
              <w:color w:val="000000" w:themeColor="text1"/>
              <w:w w:val="105"/>
              <w:kern w:val="40"/>
              <w:lang w:eastAsia="en-AU"/>
            </w:rPr>
            <w:t xml:space="preserve"> however we believe that the proposal presente</w:t>
          </w:r>
          <w:r w:rsidR="00D83D56">
            <w:rPr>
              <w:rFonts w:ascii="Calibri" w:eastAsia="Times New Roman" w:hAnsi="Calibri"/>
              <w:color w:val="000000" w:themeColor="text1"/>
              <w:w w:val="105"/>
              <w:kern w:val="40"/>
              <w:lang w:eastAsia="en-AU"/>
            </w:rPr>
            <w:t>d in the paper would also be fit</w:t>
          </w:r>
          <w:r>
            <w:rPr>
              <w:rFonts w:ascii="Calibri" w:eastAsia="Times New Roman" w:hAnsi="Calibri"/>
              <w:color w:val="000000" w:themeColor="text1"/>
              <w:w w:val="105"/>
              <w:kern w:val="40"/>
              <w:lang w:eastAsia="en-AU"/>
            </w:rPr>
            <w:t xml:space="preserve"> for purpose.</w:t>
          </w:r>
        </w:p>
        <w:p w14:paraId="7D553F0B" w14:textId="77777777" w:rsidR="006A1DDB" w:rsidRDefault="006A1DDB" w:rsidP="006A1DDB">
          <w:pPr>
            <w:spacing w:after="0" w:line="240" w:lineRule="auto"/>
            <w:rPr>
              <w:rFonts w:ascii="Calibri" w:eastAsia="Times New Roman" w:hAnsi="Calibri"/>
              <w:color w:val="000000" w:themeColor="text1"/>
              <w:w w:val="105"/>
              <w:kern w:val="40"/>
              <w:lang w:eastAsia="en-AU"/>
            </w:rPr>
          </w:pPr>
        </w:p>
        <w:p w14:paraId="3D0AC85E" w14:textId="1E1C2EFF" w:rsidR="00C41A60" w:rsidRDefault="00590D75" w:rsidP="00590D75">
          <w:pPr>
            <w:spacing w:after="0" w:line="240" w:lineRule="auto"/>
            <w:rPr>
              <w:rFonts w:ascii="Calibri" w:eastAsia="Times New Roman" w:hAnsi="Calibri"/>
              <w:color w:val="000000" w:themeColor="text1"/>
              <w:w w:val="105"/>
              <w:kern w:val="40"/>
              <w:lang w:eastAsia="en-AU"/>
            </w:rPr>
          </w:pPr>
          <w:r w:rsidRPr="006A1DDB">
            <w:rPr>
              <w:rFonts w:ascii="Calibri" w:eastAsia="Times New Roman" w:hAnsi="Calibri"/>
              <w:color w:val="000000" w:themeColor="text1"/>
              <w:w w:val="105"/>
              <w:kern w:val="40"/>
              <w:lang w:eastAsia="en-AU"/>
            </w:rPr>
            <w:t xml:space="preserve">However we stress that the safe harbours will not </w:t>
          </w:r>
          <w:r w:rsidR="00611D68">
            <w:rPr>
              <w:rFonts w:ascii="Calibri" w:eastAsia="Times New Roman" w:hAnsi="Calibri"/>
              <w:color w:val="000000" w:themeColor="text1"/>
              <w:w w:val="105"/>
              <w:kern w:val="40"/>
              <w:lang w:eastAsia="en-AU"/>
            </w:rPr>
            <w:t>relieve the burden imposed on intermediaries by an extension of authorisation liability.</w:t>
          </w:r>
          <w:r w:rsidRPr="006A1DDB">
            <w:rPr>
              <w:rFonts w:ascii="Calibri" w:eastAsia="Times New Roman" w:hAnsi="Calibri"/>
              <w:color w:val="000000" w:themeColor="text1"/>
              <w:w w:val="105"/>
              <w:kern w:val="40"/>
              <w:lang w:eastAsia="en-AU"/>
            </w:rPr>
            <w:t xml:space="preserve">  Safe harbours will not cover the range of activities likely covered by the expanded definition and the necessity to have an implemented policy for termination of repeat infringers</w:t>
          </w:r>
          <w:r w:rsidR="006A1DDB">
            <w:rPr>
              <w:rStyle w:val="FootnoteReference"/>
              <w:rFonts w:ascii="Calibri" w:eastAsia="Times New Roman" w:hAnsi="Calibri"/>
              <w:color w:val="000000" w:themeColor="text1"/>
              <w:w w:val="105"/>
              <w:kern w:val="40"/>
              <w:lang w:eastAsia="en-AU"/>
            </w:rPr>
            <w:footnoteReference w:id="16"/>
          </w:r>
          <w:r w:rsidRPr="006A1DDB">
            <w:rPr>
              <w:rFonts w:ascii="Calibri" w:eastAsia="Times New Roman" w:hAnsi="Calibri"/>
              <w:color w:val="000000" w:themeColor="text1"/>
              <w:w w:val="105"/>
              <w:kern w:val="40"/>
              <w:lang w:eastAsia="en-AU"/>
            </w:rPr>
            <w:t xml:space="preserve"> makes them un</w:t>
          </w:r>
          <w:r w:rsidR="00C41A60">
            <w:rPr>
              <w:rFonts w:ascii="Calibri" w:eastAsia="Times New Roman" w:hAnsi="Calibri"/>
              <w:color w:val="000000" w:themeColor="text1"/>
              <w:w w:val="105"/>
              <w:kern w:val="40"/>
              <w:lang w:eastAsia="en-AU"/>
            </w:rPr>
            <w:t>desirable for some situations.</w:t>
          </w:r>
        </w:p>
        <w:p w14:paraId="76511957" w14:textId="1E39BB25" w:rsidR="00C41A60" w:rsidRPr="00C41A60" w:rsidRDefault="00C41A60" w:rsidP="00590D75">
          <w:pPr>
            <w:spacing w:after="0" w:line="240" w:lineRule="auto"/>
            <w:rPr>
              <w:rFonts w:ascii="Calibri" w:eastAsia="Times New Roman" w:hAnsi="Calibri"/>
              <w:color w:val="000000" w:themeColor="text1"/>
              <w:w w:val="105"/>
              <w:kern w:val="40"/>
              <w:lang w:eastAsia="en-AU"/>
            </w:rPr>
            <w:sectPr w:rsidR="00C41A60" w:rsidRPr="00C41A60" w:rsidSect="0071254A">
              <w:footerReference w:type="default" r:id="rId10"/>
              <w:headerReference w:type="first" r:id="rId11"/>
              <w:pgSz w:w="11907" w:h="16840" w:code="9"/>
              <w:pgMar w:top="720" w:right="1077" w:bottom="720" w:left="1077" w:header="578" w:footer="720" w:gutter="0"/>
              <w:pgNumType w:fmt="lowerRoman" w:start="0"/>
              <w:cols w:space="720"/>
              <w:titlePg/>
              <w:docGrid w:linePitch="360"/>
            </w:sectPr>
          </w:pPr>
        </w:p>
        <w:p w14:paraId="7A63A28D" w14:textId="77777777" w:rsidR="00B113E8" w:rsidRPr="00805854" w:rsidRDefault="00B113E8" w:rsidP="00C41A60">
          <w:pPr>
            <w:pStyle w:val="CoverLogo"/>
            <w:ind w:left="0"/>
            <w:jc w:val="left"/>
          </w:pPr>
        </w:p>
        <w:p w14:paraId="30C82942" w14:textId="5CFE5739" w:rsidR="00B113E8" w:rsidRPr="00805854" w:rsidRDefault="006A1DDB" w:rsidP="006A1DDB">
          <w:pPr>
            <w:tabs>
              <w:tab w:val="left" w:pos="6629"/>
            </w:tabs>
          </w:pPr>
          <w:r>
            <w:tab/>
          </w:r>
        </w:p>
        <w:sdt>
          <w:sdtPr>
            <w:alias w:val="Report Title"/>
            <w:tag w:val="Report Title"/>
            <w:id w:val="-1769611973"/>
            <w:dataBinding w:prefixMappings="xmlns:ns0='http://purl.org/dc/elements/1.1/' xmlns:ns1='http://schemas.openxmlformats.org/package/2006/metadata/core-properties' " w:xpath="/ns1:coreProperties[1]/ns0:description[1]" w:storeItemID="{6C3C8BC8-F283-45AE-878A-BAB7291924A1}"/>
            <w:text w:multiLine="1"/>
          </w:sdtPr>
          <w:sdtEndPr/>
          <w:sdtContent>
            <w:p w14:paraId="09E3A884" w14:textId="77777777" w:rsidR="00B113E8" w:rsidRPr="00805854" w:rsidRDefault="008600B6" w:rsidP="008600B6">
              <w:pPr>
                <w:pStyle w:val="Title"/>
              </w:pPr>
              <w:r w:rsidRPr="00805854">
                <w:t>Authorisation in Context</w:t>
              </w:r>
            </w:p>
          </w:sdtContent>
        </w:sdt>
        <w:p w14:paraId="7DC473C4" w14:textId="4CB466B6" w:rsidR="00B113E8" w:rsidRPr="00805854" w:rsidRDefault="001C2F93" w:rsidP="008600B6">
          <w:pPr>
            <w:pStyle w:val="Subtitle"/>
          </w:pPr>
          <w:r w:rsidRPr="00805854">
            <w:t>Potential consequences of the proposed a</w:t>
          </w:r>
          <w:r w:rsidR="008600B6" w:rsidRPr="00805854">
            <w:t>mendment</w:t>
          </w:r>
          <w:r w:rsidR="00BD1902" w:rsidRPr="00805854">
            <w:t>s</w:t>
          </w:r>
          <w:r w:rsidRPr="00805854">
            <w:t xml:space="preserve"> </w:t>
          </w:r>
          <w:r w:rsidR="009C0250">
            <w:br/>
          </w:r>
          <w:r w:rsidRPr="00805854">
            <w:t>to Australian secondary liability law</w:t>
          </w:r>
        </w:p>
        <w:p w14:paraId="749A1FA9" w14:textId="77777777" w:rsidR="00387CEB" w:rsidRPr="00805854" w:rsidRDefault="00387CEB" w:rsidP="00387CEB">
          <w:pPr>
            <w:jc w:val="center"/>
          </w:pPr>
          <w:r w:rsidRPr="00805854">
            <w:t>Commissioned by the Australian Digital Alliance</w:t>
          </w:r>
        </w:p>
        <w:p w14:paraId="57BD812B" w14:textId="77777777" w:rsidR="00387CEB" w:rsidRPr="00805854" w:rsidRDefault="00387CEB" w:rsidP="00387CEB">
          <w:pPr>
            <w:jc w:val="center"/>
          </w:pPr>
          <w:r w:rsidRPr="00805854">
            <w:t>August 2014</w:t>
          </w:r>
        </w:p>
        <w:p w14:paraId="1C112252" w14:textId="77777777" w:rsidR="00387CEB" w:rsidRDefault="00387CEB" w:rsidP="00387CEB"/>
        <w:p w14:paraId="35A8847D" w14:textId="77777777" w:rsidR="00B113E8" w:rsidRPr="00805854" w:rsidRDefault="008600B6" w:rsidP="008600B6">
          <w:pPr>
            <w:pStyle w:val="CompanyInfo"/>
          </w:pPr>
          <w:r w:rsidRPr="00805854">
            <w:t>Dr Rebecca Giblin</w:t>
          </w:r>
        </w:p>
        <w:p w14:paraId="1CEF8548" w14:textId="77777777" w:rsidR="00B113E8" w:rsidRPr="00805854" w:rsidRDefault="004D590B" w:rsidP="004D590B">
          <w:pPr>
            <w:pStyle w:val="CompanyInfo"/>
          </w:pPr>
          <w:r w:rsidRPr="00805854">
            <w:t xml:space="preserve">Senior Lecturer, Law Faculty, </w:t>
          </w:r>
          <w:r w:rsidR="008600B6" w:rsidRPr="00805854">
            <w:t xml:space="preserve">Monash University </w:t>
          </w:r>
          <w:r w:rsidRPr="00805854">
            <w:t xml:space="preserve"> </w:t>
          </w:r>
        </w:p>
        <w:p w14:paraId="2BAB2453" w14:textId="77777777" w:rsidR="005E14FD" w:rsidRDefault="005E14FD" w:rsidP="008600B6">
          <w:pPr>
            <w:pStyle w:val="CompanyInfo"/>
          </w:pPr>
        </w:p>
        <w:p w14:paraId="2BD8D4C7" w14:textId="05802574" w:rsidR="00B113E8" w:rsidRDefault="006E03CC" w:rsidP="008600B6">
          <w:pPr>
            <w:pStyle w:val="CompanyInfo"/>
          </w:pPr>
          <w:hyperlink r:id="rId12" w:history="1">
            <w:r w:rsidR="00C41A60" w:rsidRPr="00CF2E4C">
              <w:rPr>
                <w:rStyle w:val="Hyperlink"/>
              </w:rPr>
              <w:t>rebecca.giblin@monash.edu</w:t>
            </w:r>
          </w:hyperlink>
        </w:p>
      </w:sdtContent>
    </w:sdt>
    <w:p w14:paraId="3A43B3BF" w14:textId="20297742" w:rsidR="00C41A60" w:rsidRDefault="00C41A60">
      <w:pPr>
        <w:rPr>
          <w:color w:val="7F7F7F" w:themeColor="text1" w:themeTint="80"/>
          <w:szCs w:val="18"/>
          <w14:numForm w14:val="lining"/>
        </w:rPr>
      </w:pPr>
      <w:r>
        <w:br w:type="page"/>
      </w:r>
    </w:p>
    <w:p w14:paraId="71D0E794" w14:textId="77777777" w:rsidR="00C41A60" w:rsidRPr="00805854" w:rsidRDefault="00C41A60" w:rsidP="008600B6">
      <w:pPr>
        <w:pStyle w:val="CompanyInfo"/>
      </w:pPr>
    </w:p>
    <w:p w14:paraId="3867A3EB" w14:textId="61B59909" w:rsidR="00B113E8" w:rsidRPr="00805854" w:rsidRDefault="00B113E8" w:rsidP="008600B6"/>
    <w:p w14:paraId="7B084F1A" w14:textId="77777777" w:rsidR="00B113E8" w:rsidRPr="00805854" w:rsidRDefault="00D45237" w:rsidP="00D4413D">
      <w:pPr>
        <w:pStyle w:val="Heading1"/>
        <w:jc w:val="both"/>
      </w:pPr>
      <w:bookmarkStart w:id="1" w:name="_Toc397245888"/>
      <w:r w:rsidRPr="00805854">
        <w:t>Executive Summary</w:t>
      </w:r>
      <w:bookmarkEnd w:id="1"/>
    </w:p>
    <w:p w14:paraId="08CF8565" w14:textId="77777777" w:rsidR="00387CEB" w:rsidRDefault="00387CEB" w:rsidP="00D4413D">
      <w:pPr>
        <w:jc w:val="both"/>
        <w:rPr>
          <w:noProof/>
        </w:rPr>
      </w:pPr>
    </w:p>
    <w:p w14:paraId="1C3D2B5E" w14:textId="7E093ACE" w:rsidR="00A42492" w:rsidRDefault="00A42492" w:rsidP="00D4413D">
      <w:pPr>
        <w:jc w:val="both"/>
        <w:rPr>
          <w:rFonts w:eastAsiaTheme="minorEastAsia"/>
          <w:bCs/>
          <w:lang w:eastAsia="zh-CN"/>
        </w:rPr>
      </w:pPr>
      <w:r>
        <w:t>The Australian Government has proposed</w:t>
      </w:r>
      <w:r w:rsidR="009C0250">
        <w:t xml:space="preserve"> </w:t>
      </w:r>
      <w:r w:rsidR="00072111">
        <w:t>amending</w:t>
      </w:r>
      <w:r>
        <w:t xml:space="preserve"> the Copyright Act</w:t>
      </w:r>
      <w:r w:rsidR="009C0250">
        <w:t xml:space="preserve"> 1968</w:t>
      </w:r>
      <w:r>
        <w:t xml:space="preserve"> to broaden the circumstances in which an organisation or individual may be liable for someone else’s </w:t>
      </w:r>
      <w:r w:rsidR="009C0250">
        <w:t xml:space="preserve">copyright </w:t>
      </w:r>
      <w:r>
        <w:t xml:space="preserve">infringement. </w:t>
      </w:r>
      <w:r w:rsidRPr="00805854">
        <w:t xml:space="preserve">Although the Government’s proposed amendment appears </w:t>
      </w:r>
      <w:r w:rsidR="009C0250">
        <w:t xml:space="preserve">to be </w:t>
      </w:r>
      <w:r w:rsidRPr="00805854">
        <w:t xml:space="preserve">squarely aimed at ISPs, the </w:t>
      </w:r>
      <w:r w:rsidR="009C0250">
        <w:t>amendments</w:t>
      </w:r>
      <w:r w:rsidRPr="00805854">
        <w:t xml:space="preserve"> would apply with equal force to any other </w:t>
      </w:r>
      <w:r w:rsidR="009C0250">
        <w:t>person</w:t>
      </w:r>
      <w:r w:rsidRPr="00805854">
        <w:t xml:space="preserve"> who </w:t>
      </w:r>
      <w:r w:rsidR="009C0250">
        <w:t xml:space="preserve">provides </w:t>
      </w:r>
      <w:r w:rsidRPr="00805854">
        <w:t xml:space="preserve">goods or services </w:t>
      </w:r>
      <w:r w:rsidR="009C0250">
        <w:t>which may</w:t>
      </w:r>
      <w:r w:rsidRPr="00805854">
        <w:t xml:space="preserve"> be put to infringing use. This includes all organisations</w:t>
      </w:r>
      <w:r w:rsidR="009C0250">
        <w:t xml:space="preserve"> which</w:t>
      </w:r>
      <w:r w:rsidRPr="00805854">
        <w:t xml:space="preserve"> </w:t>
      </w:r>
      <w:r w:rsidR="009C0250" w:rsidRPr="00805854">
        <w:t>provid</w:t>
      </w:r>
      <w:r w:rsidR="009C0250">
        <w:t>e</w:t>
      </w:r>
      <w:r w:rsidR="009C0250" w:rsidRPr="00805854">
        <w:t xml:space="preserve"> </w:t>
      </w:r>
      <w:r w:rsidRPr="00805854">
        <w:t xml:space="preserve">internet access to the public (including government bodies, libraries, schools and universities), online platforms which </w:t>
      </w:r>
      <w:r w:rsidRPr="00805854">
        <w:rPr>
          <w:rFonts w:eastAsiaTheme="minorEastAsia"/>
          <w:bCs/>
          <w:lang w:eastAsia="zh-CN"/>
        </w:rPr>
        <w:t xml:space="preserve">enable users to upload and display images and videos (such as eBay, Facebook and YouTube), providers of remote or ‘cloud’ storage (including commercial businesses like Dropbox, Microsoft and Google, as well as schools and universities), </w:t>
      </w:r>
      <w:r w:rsidR="009C0250">
        <w:rPr>
          <w:rFonts w:eastAsiaTheme="minorEastAsia"/>
          <w:bCs/>
          <w:lang w:eastAsia="zh-CN"/>
        </w:rPr>
        <w:t>organisations which</w:t>
      </w:r>
      <w:r w:rsidRPr="00805854">
        <w:rPr>
          <w:rFonts w:eastAsiaTheme="minorEastAsia"/>
          <w:bCs/>
          <w:lang w:eastAsia="zh-CN"/>
        </w:rPr>
        <w:t xml:space="preserve"> loan out or make available copyrighted content (</w:t>
      </w:r>
      <w:r w:rsidR="00A04E60">
        <w:rPr>
          <w:rFonts w:eastAsiaTheme="minorEastAsia"/>
          <w:bCs/>
          <w:lang w:eastAsia="zh-CN"/>
        </w:rPr>
        <w:t>such as librar</w:t>
      </w:r>
      <w:r w:rsidRPr="00805854">
        <w:rPr>
          <w:rFonts w:eastAsiaTheme="minorEastAsia"/>
          <w:bCs/>
          <w:lang w:eastAsia="zh-CN"/>
        </w:rPr>
        <w:t xml:space="preserve">ies and video stores) and businesses </w:t>
      </w:r>
      <w:r w:rsidR="009C0250" w:rsidRPr="00805854">
        <w:rPr>
          <w:rFonts w:eastAsiaTheme="minorEastAsia"/>
          <w:bCs/>
          <w:lang w:eastAsia="zh-CN"/>
        </w:rPr>
        <w:t>wh</w:t>
      </w:r>
      <w:r w:rsidR="009C0250">
        <w:rPr>
          <w:rFonts w:eastAsiaTheme="minorEastAsia"/>
          <w:bCs/>
          <w:lang w:eastAsia="zh-CN"/>
        </w:rPr>
        <w:t>ich</w:t>
      </w:r>
      <w:r w:rsidR="009C0250" w:rsidRPr="00805854">
        <w:rPr>
          <w:rFonts w:eastAsiaTheme="minorEastAsia"/>
          <w:bCs/>
          <w:lang w:eastAsia="zh-CN"/>
        </w:rPr>
        <w:t xml:space="preserve"> </w:t>
      </w:r>
      <w:r w:rsidR="00CD1BA6">
        <w:rPr>
          <w:rFonts w:eastAsiaTheme="minorEastAsia"/>
          <w:bCs/>
          <w:lang w:eastAsia="zh-CN"/>
        </w:rPr>
        <w:t xml:space="preserve">make and </w:t>
      </w:r>
      <w:r w:rsidRPr="00805854">
        <w:rPr>
          <w:rFonts w:eastAsiaTheme="minorEastAsia"/>
          <w:bCs/>
          <w:lang w:eastAsia="zh-CN"/>
        </w:rPr>
        <w:t xml:space="preserve">sell </w:t>
      </w:r>
      <w:r w:rsidR="00CD1BA6">
        <w:rPr>
          <w:rFonts w:eastAsiaTheme="minorEastAsia"/>
          <w:bCs/>
          <w:lang w:eastAsia="zh-CN"/>
        </w:rPr>
        <w:t xml:space="preserve">everyday consumer </w:t>
      </w:r>
      <w:r w:rsidRPr="00805854">
        <w:rPr>
          <w:rFonts w:eastAsiaTheme="minorEastAsia"/>
          <w:bCs/>
          <w:lang w:eastAsia="zh-CN"/>
        </w:rPr>
        <w:t>technologies like CDs, CD/DVD burners, USB keys, hard drives</w:t>
      </w:r>
      <w:r w:rsidR="00886402">
        <w:rPr>
          <w:rFonts w:eastAsiaTheme="minorEastAsia"/>
          <w:bCs/>
          <w:lang w:eastAsia="zh-CN"/>
        </w:rPr>
        <w:t>, digital video recorders</w:t>
      </w:r>
      <w:r w:rsidRPr="00805854">
        <w:rPr>
          <w:rFonts w:eastAsiaTheme="minorEastAsia"/>
          <w:bCs/>
          <w:lang w:eastAsia="zh-CN"/>
        </w:rPr>
        <w:t xml:space="preserve"> and photocopiers.  </w:t>
      </w:r>
    </w:p>
    <w:p w14:paraId="1C36B777" w14:textId="5C45888C" w:rsidR="00993447" w:rsidRDefault="00344032" w:rsidP="00D4413D">
      <w:pPr>
        <w:jc w:val="both"/>
        <w:rPr>
          <w:rFonts w:eastAsiaTheme="minorEastAsia"/>
          <w:bCs/>
          <w:lang w:eastAsia="zh-CN"/>
        </w:rPr>
      </w:pPr>
      <w:r>
        <w:rPr>
          <w:rFonts w:eastAsiaTheme="minorEastAsia"/>
          <w:bCs/>
          <w:lang w:eastAsia="zh-CN"/>
        </w:rPr>
        <w:t>T</w:t>
      </w:r>
      <w:r w:rsidR="001B4CEF">
        <w:rPr>
          <w:rFonts w:eastAsiaTheme="minorEastAsia"/>
          <w:bCs/>
          <w:lang w:eastAsia="zh-CN"/>
        </w:rPr>
        <w:t>his report sets</w:t>
      </w:r>
      <w:r w:rsidR="009C0250">
        <w:rPr>
          <w:rFonts w:eastAsiaTheme="minorEastAsia"/>
          <w:bCs/>
          <w:lang w:eastAsia="zh-CN"/>
        </w:rPr>
        <w:t xml:space="preserve"> out</w:t>
      </w:r>
      <w:r w:rsidR="001B4CEF">
        <w:rPr>
          <w:rFonts w:eastAsiaTheme="minorEastAsia"/>
          <w:bCs/>
          <w:lang w:eastAsia="zh-CN"/>
        </w:rPr>
        <w:t xml:space="preserve"> the existing law in its historical and global contexts</w:t>
      </w:r>
      <w:r w:rsidR="00B54BB3">
        <w:rPr>
          <w:rFonts w:eastAsiaTheme="minorEastAsia"/>
          <w:bCs/>
          <w:lang w:eastAsia="zh-CN"/>
        </w:rPr>
        <w:t>, and</w:t>
      </w:r>
      <w:r>
        <w:rPr>
          <w:rFonts w:eastAsiaTheme="minorEastAsia"/>
          <w:bCs/>
          <w:lang w:eastAsia="zh-CN"/>
        </w:rPr>
        <w:t xml:space="preserve">, on the basis of extensive consultations with representatives from universities, schools, libraries and the technology sector, </w:t>
      </w:r>
      <w:r w:rsidR="001B4CEF">
        <w:rPr>
          <w:rFonts w:eastAsiaTheme="minorEastAsia"/>
          <w:bCs/>
          <w:lang w:eastAsia="zh-CN"/>
        </w:rPr>
        <w:t>explores the legal and practical implications of the proposed change</w:t>
      </w:r>
      <w:r w:rsidR="009C0250">
        <w:rPr>
          <w:rFonts w:eastAsiaTheme="minorEastAsia"/>
          <w:bCs/>
          <w:lang w:eastAsia="zh-CN"/>
        </w:rPr>
        <w:t>s</w:t>
      </w:r>
      <w:r w:rsidR="001B4CEF">
        <w:rPr>
          <w:rFonts w:eastAsiaTheme="minorEastAsia"/>
          <w:bCs/>
          <w:lang w:eastAsia="zh-CN"/>
        </w:rPr>
        <w:t xml:space="preserve"> for Australian intermediaries. It finds</w:t>
      </w:r>
      <w:r w:rsidR="00F8413C">
        <w:rPr>
          <w:rFonts w:eastAsiaTheme="minorEastAsia"/>
          <w:bCs/>
          <w:lang w:eastAsia="zh-CN"/>
        </w:rPr>
        <w:t xml:space="preserve"> that</w:t>
      </w:r>
      <w:r w:rsidR="00993447">
        <w:rPr>
          <w:rFonts w:eastAsiaTheme="minorEastAsia"/>
          <w:bCs/>
          <w:lang w:eastAsia="zh-CN"/>
        </w:rPr>
        <w:t>:</w:t>
      </w:r>
      <w:r w:rsidR="001B4CEF">
        <w:rPr>
          <w:rFonts w:eastAsiaTheme="minorEastAsia"/>
          <w:bCs/>
          <w:lang w:eastAsia="zh-CN"/>
        </w:rPr>
        <w:t xml:space="preserve"> </w:t>
      </w:r>
    </w:p>
    <w:p w14:paraId="059F6836" w14:textId="729455F2" w:rsidR="00993447" w:rsidRDefault="00993447" w:rsidP="00993447">
      <w:pPr>
        <w:pStyle w:val="ListBullet"/>
        <w:rPr>
          <w:lang w:eastAsia="zh-CN"/>
        </w:rPr>
      </w:pPr>
      <w:r>
        <w:rPr>
          <w:rFonts w:eastAsiaTheme="minorEastAsia"/>
          <w:bCs/>
          <w:lang w:eastAsia="zh-CN"/>
        </w:rPr>
        <w:t>the proposed expansion of liability would</w:t>
      </w:r>
      <w:r>
        <w:rPr>
          <w:lang w:eastAsia="zh-CN"/>
        </w:rPr>
        <w:t xml:space="preserve"> </w:t>
      </w:r>
      <w:r w:rsidR="00344032">
        <w:rPr>
          <w:lang w:eastAsia="zh-CN"/>
        </w:rPr>
        <w:t xml:space="preserve">potentially </w:t>
      </w:r>
      <w:r w:rsidR="001B4CEF">
        <w:rPr>
          <w:lang w:eastAsia="zh-CN"/>
        </w:rPr>
        <w:t xml:space="preserve">have significant deleterious effects for Australian </w:t>
      </w:r>
      <w:r w:rsidR="00344032">
        <w:rPr>
          <w:lang w:eastAsia="zh-CN"/>
        </w:rPr>
        <w:t>institutions</w:t>
      </w:r>
      <w:r>
        <w:rPr>
          <w:lang w:eastAsia="zh-CN"/>
        </w:rPr>
        <w:t>;</w:t>
      </w:r>
    </w:p>
    <w:p w14:paraId="71B5670C" w14:textId="3FB2251E" w:rsidR="00886402" w:rsidRDefault="00F03756" w:rsidP="00993447">
      <w:pPr>
        <w:pStyle w:val="ListBullet"/>
        <w:rPr>
          <w:lang w:eastAsia="zh-CN"/>
        </w:rPr>
      </w:pPr>
      <w:r>
        <w:rPr>
          <w:lang w:eastAsia="zh-CN"/>
        </w:rPr>
        <w:t>the existing Australian law is already as broad as or broader than those of its counterparts overseas</w:t>
      </w:r>
      <w:r w:rsidR="00993447">
        <w:rPr>
          <w:lang w:eastAsia="zh-CN"/>
        </w:rPr>
        <w:t xml:space="preserve"> (and fully compliant with its international obligations);</w:t>
      </w:r>
    </w:p>
    <w:p w14:paraId="3204F018" w14:textId="6B882691" w:rsidR="00993447" w:rsidRDefault="00993447" w:rsidP="00993447">
      <w:pPr>
        <w:pStyle w:val="ListBullet"/>
        <w:rPr>
          <w:lang w:eastAsia="zh-CN"/>
        </w:rPr>
      </w:pPr>
      <w:r>
        <w:rPr>
          <w:lang w:eastAsia="zh-CN"/>
        </w:rPr>
        <w:t xml:space="preserve">the proposal would use a ‘one size’ fits all approach contrary </w:t>
      </w:r>
      <w:r>
        <w:t>to a century of authority emphasising the necessity of determining liability with reference to all of the facts of each case;</w:t>
      </w:r>
    </w:p>
    <w:p w14:paraId="03443A95" w14:textId="3046C1A6" w:rsidR="00993447" w:rsidRDefault="00993447" w:rsidP="00993447">
      <w:pPr>
        <w:pStyle w:val="ListBullet"/>
        <w:rPr>
          <w:lang w:eastAsia="zh-CN"/>
        </w:rPr>
      </w:pPr>
      <w:r>
        <w:t>it would give copyright owners considerably broader rights against Australian individuals and institutions than those suffering economic loss because of torts committed in other contexts</w:t>
      </w:r>
      <w:r w:rsidR="00F8413C">
        <w:t xml:space="preserve"> (</w:t>
      </w:r>
      <w:r>
        <w:t>without any justification of why they shoul</w:t>
      </w:r>
      <w:r w:rsidR="00F8413C">
        <w:t>d receive such special treatment);</w:t>
      </w:r>
    </w:p>
    <w:p w14:paraId="56356388" w14:textId="0EBB577B" w:rsidR="00F8413C" w:rsidRDefault="00F8413C" w:rsidP="00993447">
      <w:pPr>
        <w:pStyle w:val="ListBullet"/>
        <w:rPr>
          <w:lang w:eastAsia="zh-CN"/>
        </w:rPr>
      </w:pPr>
      <w:r>
        <w:t>the proposed amendments would</w:t>
      </w:r>
      <w:r w:rsidRPr="00805854">
        <w:t xml:space="preserve"> likely result in persistent rightholder lobbying for new regulations that go further and do more</w:t>
      </w:r>
      <w:r>
        <w:t>, perpetuating uncertainty about the scope of intermediaries’ obligations and liability;</w:t>
      </w:r>
    </w:p>
    <w:p w14:paraId="2FA7CF14" w14:textId="4417B3A5" w:rsidR="00F8413C" w:rsidRDefault="00F8413C" w:rsidP="00993447">
      <w:pPr>
        <w:pStyle w:val="ListBullet"/>
        <w:rPr>
          <w:lang w:eastAsia="zh-CN"/>
        </w:rPr>
      </w:pPr>
      <w:r>
        <w:t>it would oblige greater reliance on ‘safe harbours’, driving increased account terminations;</w:t>
      </w:r>
    </w:p>
    <w:p w14:paraId="34B8E3B2" w14:textId="5C538FFD" w:rsidR="00F8413C" w:rsidRDefault="00F8413C" w:rsidP="00993447">
      <w:pPr>
        <w:pStyle w:val="ListBullet"/>
        <w:rPr>
          <w:lang w:eastAsia="zh-CN"/>
        </w:rPr>
      </w:pPr>
      <w:r>
        <w:t>the increased costs and uncertainty would make Australia less competitive and a less attractive place for investment; and</w:t>
      </w:r>
    </w:p>
    <w:p w14:paraId="145E1ADD" w14:textId="24C40332" w:rsidR="00F8413C" w:rsidRDefault="00F8413C" w:rsidP="00993447">
      <w:pPr>
        <w:pStyle w:val="ListBullet"/>
        <w:rPr>
          <w:lang w:eastAsia="zh-CN"/>
        </w:rPr>
      </w:pPr>
      <w:r>
        <w:t>there has been no clear analysis about the benefits likely to be obtained in exchange for these costs.</w:t>
      </w:r>
    </w:p>
    <w:p w14:paraId="49D732D8" w14:textId="77777777" w:rsidR="00993447" w:rsidRDefault="00993447" w:rsidP="00D4413D">
      <w:pPr>
        <w:jc w:val="both"/>
        <w:rPr>
          <w:rFonts w:eastAsiaTheme="minorEastAsia"/>
          <w:bCs/>
          <w:lang w:eastAsia="zh-CN"/>
        </w:rPr>
      </w:pPr>
    </w:p>
    <w:p w14:paraId="51747619" w14:textId="77777777" w:rsidR="00886402" w:rsidRDefault="00886402" w:rsidP="00D4413D">
      <w:pPr>
        <w:jc w:val="both"/>
        <w:rPr>
          <w:rFonts w:eastAsiaTheme="minorEastAsia"/>
          <w:bCs/>
          <w:lang w:eastAsia="zh-CN"/>
        </w:rPr>
      </w:pPr>
      <w:r>
        <w:rPr>
          <w:rFonts w:eastAsiaTheme="minorEastAsia"/>
          <w:bCs/>
          <w:lang w:eastAsia="zh-CN"/>
        </w:rPr>
        <w:br w:type="page"/>
      </w:r>
    </w:p>
    <w:sdt>
      <w:sdtPr>
        <w:rPr>
          <w:rFonts w:asciiTheme="minorHAnsi" w:hAnsiTheme="minorHAnsi"/>
          <w:caps w:val="0"/>
          <w:color w:val="595959" w:themeColor="text1" w:themeTint="A6"/>
          <w:sz w:val="18"/>
          <w:szCs w:val="22"/>
        </w:rPr>
        <w:id w:val="-684065526"/>
        <w:docPartObj>
          <w:docPartGallery w:val="Table of Contents"/>
          <w:docPartUnique/>
        </w:docPartObj>
      </w:sdtPr>
      <w:sdtEndPr>
        <w:rPr>
          <w:color w:val="auto"/>
          <w:sz w:val="22"/>
        </w:rPr>
      </w:sdtEndPr>
      <w:sdtContent>
        <w:p w14:paraId="2F1B22DF" w14:textId="77777777" w:rsidR="00B113E8" w:rsidRPr="00805854" w:rsidRDefault="00D45237" w:rsidP="00D4413D">
          <w:pPr>
            <w:pStyle w:val="TOCHeading"/>
            <w:jc w:val="both"/>
          </w:pPr>
          <w:r w:rsidRPr="00805854">
            <w:t>Contents</w:t>
          </w:r>
        </w:p>
        <w:p w14:paraId="1B9CEFE9" w14:textId="77777777" w:rsidR="00F8413C" w:rsidRDefault="00D45237">
          <w:pPr>
            <w:pStyle w:val="TOC1"/>
            <w:rPr>
              <w:rFonts w:asciiTheme="minorHAnsi" w:eastAsiaTheme="minorEastAsia" w:hAnsiTheme="minorHAnsi"/>
              <w:noProof/>
              <w:color w:val="auto"/>
              <w:sz w:val="22"/>
              <w:lang w:val="en-US"/>
            </w:rPr>
          </w:pPr>
          <w:r w:rsidRPr="00805854">
            <w:fldChar w:fldCharType="begin"/>
          </w:r>
          <w:r w:rsidRPr="00805854">
            <w:instrText xml:space="preserve"> TOC \o "2-3" \h \z \t "Heading 1,1" </w:instrText>
          </w:r>
          <w:r w:rsidRPr="00805854">
            <w:fldChar w:fldCharType="separate"/>
          </w:r>
          <w:hyperlink w:anchor="_Toc397245888" w:history="1">
            <w:r w:rsidR="00F8413C" w:rsidRPr="00A66662">
              <w:rPr>
                <w:rStyle w:val="Hyperlink"/>
                <w:noProof/>
              </w:rPr>
              <w:t>Executive Summary</w:t>
            </w:r>
            <w:r w:rsidR="00F8413C">
              <w:rPr>
                <w:noProof/>
                <w:webHidden/>
              </w:rPr>
              <w:tab/>
            </w:r>
            <w:r w:rsidR="00F8413C">
              <w:rPr>
                <w:noProof/>
                <w:webHidden/>
              </w:rPr>
              <w:fldChar w:fldCharType="begin"/>
            </w:r>
            <w:r w:rsidR="00F8413C">
              <w:rPr>
                <w:noProof/>
                <w:webHidden/>
              </w:rPr>
              <w:instrText xml:space="preserve"> PAGEREF _Toc397245888 \h </w:instrText>
            </w:r>
            <w:r w:rsidR="00F8413C">
              <w:rPr>
                <w:noProof/>
                <w:webHidden/>
              </w:rPr>
            </w:r>
            <w:r w:rsidR="00F8413C">
              <w:rPr>
                <w:noProof/>
                <w:webHidden/>
              </w:rPr>
              <w:fldChar w:fldCharType="separate"/>
            </w:r>
            <w:r w:rsidR="00C41A60">
              <w:rPr>
                <w:noProof/>
                <w:webHidden/>
              </w:rPr>
              <w:t>i</w:t>
            </w:r>
            <w:r w:rsidR="00F8413C">
              <w:rPr>
                <w:noProof/>
                <w:webHidden/>
              </w:rPr>
              <w:fldChar w:fldCharType="end"/>
            </w:r>
          </w:hyperlink>
        </w:p>
        <w:p w14:paraId="6EAC8606" w14:textId="77777777" w:rsidR="00F8413C" w:rsidRDefault="006E03CC">
          <w:pPr>
            <w:pStyle w:val="TOC1"/>
            <w:rPr>
              <w:rFonts w:asciiTheme="minorHAnsi" w:eastAsiaTheme="minorEastAsia" w:hAnsiTheme="minorHAnsi"/>
              <w:noProof/>
              <w:color w:val="auto"/>
              <w:sz w:val="22"/>
              <w:lang w:val="en-US"/>
            </w:rPr>
          </w:pPr>
          <w:hyperlink w:anchor="_Toc397245889" w:history="1">
            <w:r w:rsidR="00F8413C" w:rsidRPr="00A66662">
              <w:rPr>
                <w:rStyle w:val="Hyperlink"/>
                <w:noProof/>
              </w:rPr>
              <w:t>‘Authorisation’ in Australian law</w:t>
            </w:r>
            <w:r w:rsidR="00F8413C">
              <w:rPr>
                <w:noProof/>
                <w:webHidden/>
              </w:rPr>
              <w:tab/>
            </w:r>
            <w:r w:rsidR="00F8413C">
              <w:rPr>
                <w:noProof/>
                <w:webHidden/>
              </w:rPr>
              <w:fldChar w:fldCharType="begin"/>
            </w:r>
            <w:r w:rsidR="00F8413C">
              <w:rPr>
                <w:noProof/>
                <w:webHidden/>
              </w:rPr>
              <w:instrText xml:space="preserve"> PAGEREF _Toc397245889 \h </w:instrText>
            </w:r>
            <w:r w:rsidR="00F8413C">
              <w:rPr>
                <w:noProof/>
                <w:webHidden/>
              </w:rPr>
            </w:r>
            <w:r w:rsidR="00F8413C">
              <w:rPr>
                <w:noProof/>
                <w:webHidden/>
              </w:rPr>
              <w:fldChar w:fldCharType="separate"/>
            </w:r>
            <w:r w:rsidR="00C41A60">
              <w:rPr>
                <w:noProof/>
                <w:webHidden/>
              </w:rPr>
              <w:t>1</w:t>
            </w:r>
            <w:r w:rsidR="00F8413C">
              <w:rPr>
                <w:noProof/>
                <w:webHidden/>
              </w:rPr>
              <w:fldChar w:fldCharType="end"/>
            </w:r>
          </w:hyperlink>
        </w:p>
        <w:p w14:paraId="6B9E7FD9" w14:textId="77777777" w:rsidR="00F8413C" w:rsidRDefault="006E03CC">
          <w:pPr>
            <w:pStyle w:val="TOC2"/>
            <w:rPr>
              <w:rFonts w:eastAsiaTheme="minorEastAsia"/>
              <w:lang w:val="en-US"/>
            </w:rPr>
          </w:pPr>
          <w:hyperlink w:anchor="_Toc397245890" w:history="1">
            <w:r w:rsidR="00F8413C" w:rsidRPr="00A66662">
              <w:rPr>
                <w:rStyle w:val="Hyperlink"/>
              </w:rPr>
              <w:t>Overview of the law</w:t>
            </w:r>
            <w:r w:rsidR="00F8413C">
              <w:rPr>
                <w:webHidden/>
              </w:rPr>
              <w:tab/>
            </w:r>
            <w:r w:rsidR="00F8413C">
              <w:rPr>
                <w:webHidden/>
              </w:rPr>
              <w:fldChar w:fldCharType="begin"/>
            </w:r>
            <w:r w:rsidR="00F8413C">
              <w:rPr>
                <w:webHidden/>
              </w:rPr>
              <w:instrText xml:space="preserve"> PAGEREF _Toc397245890 \h </w:instrText>
            </w:r>
            <w:r w:rsidR="00F8413C">
              <w:rPr>
                <w:webHidden/>
              </w:rPr>
            </w:r>
            <w:r w:rsidR="00F8413C">
              <w:rPr>
                <w:webHidden/>
              </w:rPr>
              <w:fldChar w:fldCharType="separate"/>
            </w:r>
            <w:r w:rsidR="00C41A60">
              <w:rPr>
                <w:webHidden/>
              </w:rPr>
              <w:t>1</w:t>
            </w:r>
            <w:r w:rsidR="00F8413C">
              <w:rPr>
                <w:webHidden/>
              </w:rPr>
              <w:fldChar w:fldCharType="end"/>
            </w:r>
          </w:hyperlink>
        </w:p>
        <w:p w14:paraId="3A9BA8C9" w14:textId="77777777" w:rsidR="00F8413C" w:rsidRDefault="006E03CC">
          <w:pPr>
            <w:pStyle w:val="TOC3"/>
            <w:rPr>
              <w:rFonts w:eastAsiaTheme="minorEastAsia"/>
              <w:noProof/>
              <w:lang w:val="en-US"/>
            </w:rPr>
          </w:pPr>
          <w:hyperlink w:anchor="_Toc397245891" w:history="1">
            <w:r w:rsidR="00F8413C" w:rsidRPr="00A66662">
              <w:rPr>
                <w:rStyle w:val="Hyperlink"/>
                <w:noProof/>
                <w:lang w:eastAsia="zh-CN"/>
              </w:rPr>
              <w:t>Ongoing significance of the common law</w:t>
            </w:r>
            <w:r w:rsidR="00F8413C">
              <w:rPr>
                <w:noProof/>
                <w:webHidden/>
              </w:rPr>
              <w:tab/>
            </w:r>
            <w:r w:rsidR="00F8413C">
              <w:rPr>
                <w:noProof/>
                <w:webHidden/>
              </w:rPr>
              <w:fldChar w:fldCharType="begin"/>
            </w:r>
            <w:r w:rsidR="00F8413C">
              <w:rPr>
                <w:noProof/>
                <w:webHidden/>
              </w:rPr>
              <w:instrText xml:space="preserve"> PAGEREF _Toc397245891 \h </w:instrText>
            </w:r>
            <w:r w:rsidR="00F8413C">
              <w:rPr>
                <w:noProof/>
                <w:webHidden/>
              </w:rPr>
            </w:r>
            <w:r w:rsidR="00F8413C">
              <w:rPr>
                <w:noProof/>
                <w:webHidden/>
              </w:rPr>
              <w:fldChar w:fldCharType="separate"/>
            </w:r>
            <w:r w:rsidR="00C41A60">
              <w:rPr>
                <w:noProof/>
                <w:webHidden/>
              </w:rPr>
              <w:t>1</w:t>
            </w:r>
            <w:r w:rsidR="00F8413C">
              <w:rPr>
                <w:noProof/>
                <w:webHidden/>
              </w:rPr>
              <w:fldChar w:fldCharType="end"/>
            </w:r>
          </w:hyperlink>
        </w:p>
        <w:p w14:paraId="00A6F1BA" w14:textId="77777777" w:rsidR="00F8413C" w:rsidRDefault="006E03CC">
          <w:pPr>
            <w:pStyle w:val="TOC3"/>
            <w:rPr>
              <w:rFonts w:eastAsiaTheme="minorEastAsia"/>
              <w:noProof/>
              <w:lang w:val="en-US"/>
            </w:rPr>
          </w:pPr>
          <w:hyperlink w:anchor="_Toc397245892" w:history="1">
            <w:r w:rsidR="00F8413C" w:rsidRPr="00A66662">
              <w:rPr>
                <w:rStyle w:val="Hyperlink"/>
                <w:noProof/>
                <w:lang w:eastAsia="zh-CN"/>
              </w:rPr>
              <w:t>The importance of flexibility</w:t>
            </w:r>
            <w:r w:rsidR="00F8413C">
              <w:rPr>
                <w:noProof/>
                <w:webHidden/>
              </w:rPr>
              <w:tab/>
            </w:r>
            <w:r w:rsidR="00F8413C">
              <w:rPr>
                <w:noProof/>
                <w:webHidden/>
              </w:rPr>
              <w:fldChar w:fldCharType="begin"/>
            </w:r>
            <w:r w:rsidR="00F8413C">
              <w:rPr>
                <w:noProof/>
                <w:webHidden/>
              </w:rPr>
              <w:instrText xml:space="preserve"> PAGEREF _Toc397245892 \h </w:instrText>
            </w:r>
            <w:r w:rsidR="00F8413C">
              <w:rPr>
                <w:noProof/>
                <w:webHidden/>
              </w:rPr>
            </w:r>
            <w:r w:rsidR="00F8413C">
              <w:rPr>
                <w:noProof/>
                <w:webHidden/>
              </w:rPr>
              <w:fldChar w:fldCharType="separate"/>
            </w:r>
            <w:r w:rsidR="00C41A60">
              <w:rPr>
                <w:noProof/>
                <w:webHidden/>
              </w:rPr>
              <w:t>2</w:t>
            </w:r>
            <w:r w:rsidR="00F8413C">
              <w:rPr>
                <w:noProof/>
                <w:webHidden/>
              </w:rPr>
              <w:fldChar w:fldCharType="end"/>
            </w:r>
          </w:hyperlink>
        </w:p>
        <w:p w14:paraId="1F9423B8" w14:textId="77777777" w:rsidR="00F8413C" w:rsidRDefault="006E03CC">
          <w:pPr>
            <w:pStyle w:val="TOC1"/>
            <w:rPr>
              <w:rFonts w:asciiTheme="minorHAnsi" w:eastAsiaTheme="minorEastAsia" w:hAnsiTheme="minorHAnsi"/>
              <w:noProof/>
              <w:color w:val="auto"/>
              <w:sz w:val="22"/>
              <w:lang w:val="en-US"/>
            </w:rPr>
          </w:pPr>
          <w:hyperlink w:anchor="_Toc397245893" w:history="1">
            <w:r w:rsidR="00F8413C" w:rsidRPr="00A66662">
              <w:rPr>
                <w:rStyle w:val="Hyperlink"/>
                <w:noProof/>
              </w:rPr>
              <w:t>The proposed amendment</w:t>
            </w:r>
            <w:r w:rsidR="00F8413C">
              <w:rPr>
                <w:noProof/>
                <w:webHidden/>
              </w:rPr>
              <w:tab/>
            </w:r>
            <w:r w:rsidR="00F8413C">
              <w:rPr>
                <w:noProof/>
                <w:webHidden/>
              </w:rPr>
              <w:fldChar w:fldCharType="begin"/>
            </w:r>
            <w:r w:rsidR="00F8413C">
              <w:rPr>
                <w:noProof/>
                <w:webHidden/>
              </w:rPr>
              <w:instrText xml:space="preserve"> PAGEREF _Toc397245893 \h </w:instrText>
            </w:r>
            <w:r w:rsidR="00F8413C">
              <w:rPr>
                <w:noProof/>
                <w:webHidden/>
              </w:rPr>
            </w:r>
            <w:r w:rsidR="00F8413C">
              <w:rPr>
                <w:noProof/>
                <w:webHidden/>
              </w:rPr>
              <w:fldChar w:fldCharType="separate"/>
            </w:r>
            <w:r w:rsidR="00C41A60">
              <w:rPr>
                <w:noProof/>
                <w:webHidden/>
              </w:rPr>
              <w:t>3</w:t>
            </w:r>
            <w:r w:rsidR="00F8413C">
              <w:rPr>
                <w:noProof/>
                <w:webHidden/>
              </w:rPr>
              <w:fldChar w:fldCharType="end"/>
            </w:r>
          </w:hyperlink>
        </w:p>
        <w:p w14:paraId="112B17B3" w14:textId="77777777" w:rsidR="00F8413C" w:rsidRDefault="006E03CC">
          <w:pPr>
            <w:pStyle w:val="TOC1"/>
            <w:rPr>
              <w:rFonts w:asciiTheme="minorHAnsi" w:eastAsiaTheme="minorEastAsia" w:hAnsiTheme="minorHAnsi"/>
              <w:noProof/>
              <w:color w:val="auto"/>
              <w:sz w:val="22"/>
              <w:lang w:val="en-US"/>
            </w:rPr>
          </w:pPr>
          <w:hyperlink w:anchor="_Toc397245894" w:history="1">
            <w:r w:rsidR="00F8413C" w:rsidRPr="00A66662">
              <w:rPr>
                <w:rStyle w:val="Hyperlink"/>
                <w:noProof/>
              </w:rPr>
              <w:t>Likely legal consequences</w:t>
            </w:r>
            <w:r w:rsidR="00F8413C">
              <w:rPr>
                <w:noProof/>
                <w:webHidden/>
              </w:rPr>
              <w:tab/>
            </w:r>
            <w:r w:rsidR="00F8413C">
              <w:rPr>
                <w:noProof/>
                <w:webHidden/>
              </w:rPr>
              <w:fldChar w:fldCharType="begin"/>
            </w:r>
            <w:r w:rsidR="00F8413C">
              <w:rPr>
                <w:noProof/>
                <w:webHidden/>
              </w:rPr>
              <w:instrText xml:space="preserve"> PAGEREF _Toc397245894 \h </w:instrText>
            </w:r>
            <w:r w:rsidR="00F8413C">
              <w:rPr>
                <w:noProof/>
                <w:webHidden/>
              </w:rPr>
            </w:r>
            <w:r w:rsidR="00F8413C">
              <w:rPr>
                <w:noProof/>
                <w:webHidden/>
              </w:rPr>
              <w:fldChar w:fldCharType="separate"/>
            </w:r>
            <w:r w:rsidR="00C41A60">
              <w:rPr>
                <w:noProof/>
                <w:webHidden/>
              </w:rPr>
              <w:t>4</w:t>
            </w:r>
            <w:r w:rsidR="00F8413C">
              <w:rPr>
                <w:noProof/>
                <w:webHidden/>
              </w:rPr>
              <w:fldChar w:fldCharType="end"/>
            </w:r>
          </w:hyperlink>
        </w:p>
        <w:p w14:paraId="3D38E271" w14:textId="77777777" w:rsidR="00F8413C" w:rsidRDefault="006E03CC">
          <w:pPr>
            <w:pStyle w:val="TOC3"/>
            <w:rPr>
              <w:rFonts w:eastAsiaTheme="minorEastAsia"/>
              <w:noProof/>
              <w:lang w:val="en-US"/>
            </w:rPr>
          </w:pPr>
          <w:hyperlink w:anchor="_Toc397245895" w:history="1">
            <w:r w:rsidR="00F8413C" w:rsidRPr="00A66662">
              <w:rPr>
                <w:rStyle w:val="Hyperlink"/>
                <w:noProof/>
              </w:rPr>
              <w:t>Downgrading the significance of a defendant’s power to prevent the third party infringement</w:t>
            </w:r>
            <w:r w:rsidR="00F8413C">
              <w:rPr>
                <w:noProof/>
                <w:webHidden/>
              </w:rPr>
              <w:tab/>
            </w:r>
            <w:r w:rsidR="00F8413C">
              <w:rPr>
                <w:noProof/>
                <w:webHidden/>
              </w:rPr>
              <w:fldChar w:fldCharType="begin"/>
            </w:r>
            <w:r w:rsidR="00F8413C">
              <w:rPr>
                <w:noProof/>
                <w:webHidden/>
              </w:rPr>
              <w:instrText xml:space="preserve"> PAGEREF _Toc397245895 \h </w:instrText>
            </w:r>
            <w:r w:rsidR="00F8413C">
              <w:rPr>
                <w:noProof/>
                <w:webHidden/>
              </w:rPr>
            </w:r>
            <w:r w:rsidR="00F8413C">
              <w:rPr>
                <w:noProof/>
                <w:webHidden/>
              </w:rPr>
              <w:fldChar w:fldCharType="separate"/>
            </w:r>
            <w:r w:rsidR="00C41A60">
              <w:rPr>
                <w:noProof/>
                <w:webHidden/>
              </w:rPr>
              <w:t>5</w:t>
            </w:r>
            <w:r w:rsidR="00F8413C">
              <w:rPr>
                <w:noProof/>
                <w:webHidden/>
              </w:rPr>
              <w:fldChar w:fldCharType="end"/>
            </w:r>
          </w:hyperlink>
        </w:p>
        <w:p w14:paraId="4A53D1EB" w14:textId="77777777" w:rsidR="00F8413C" w:rsidRDefault="006E03CC">
          <w:pPr>
            <w:pStyle w:val="TOC3"/>
            <w:rPr>
              <w:rFonts w:eastAsiaTheme="minorEastAsia"/>
              <w:noProof/>
              <w:lang w:val="en-US"/>
            </w:rPr>
          </w:pPr>
          <w:hyperlink w:anchor="_Toc397245896" w:history="1">
            <w:r w:rsidR="00F8413C" w:rsidRPr="00A66662">
              <w:rPr>
                <w:rStyle w:val="Hyperlink"/>
                <w:noProof/>
              </w:rPr>
              <w:t>Limiting the courts’ discretion to determine what amounts to ‘reasonable steps’ on the facts of each case</w:t>
            </w:r>
            <w:r w:rsidR="00F8413C">
              <w:rPr>
                <w:noProof/>
                <w:webHidden/>
              </w:rPr>
              <w:tab/>
            </w:r>
            <w:r w:rsidR="00F8413C">
              <w:rPr>
                <w:noProof/>
                <w:webHidden/>
              </w:rPr>
              <w:fldChar w:fldCharType="begin"/>
            </w:r>
            <w:r w:rsidR="00F8413C">
              <w:rPr>
                <w:noProof/>
                <w:webHidden/>
              </w:rPr>
              <w:instrText xml:space="preserve"> PAGEREF _Toc397245896 \h </w:instrText>
            </w:r>
            <w:r w:rsidR="00F8413C">
              <w:rPr>
                <w:noProof/>
                <w:webHidden/>
              </w:rPr>
            </w:r>
            <w:r w:rsidR="00F8413C">
              <w:rPr>
                <w:noProof/>
                <w:webHidden/>
              </w:rPr>
              <w:fldChar w:fldCharType="separate"/>
            </w:r>
            <w:r w:rsidR="00C41A60">
              <w:rPr>
                <w:noProof/>
                <w:webHidden/>
              </w:rPr>
              <w:t>5</w:t>
            </w:r>
            <w:r w:rsidR="00F8413C">
              <w:rPr>
                <w:noProof/>
                <w:webHidden/>
              </w:rPr>
              <w:fldChar w:fldCharType="end"/>
            </w:r>
          </w:hyperlink>
        </w:p>
        <w:p w14:paraId="0CA903D5" w14:textId="77777777" w:rsidR="00F8413C" w:rsidRDefault="006E03CC">
          <w:pPr>
            <w:pStyle w:val="TOC1"/>
            <w:rPr>
              <w:rFonts w:asciiTheme="minorHAnsi" w:eastAsiaTheme="minorEastAsia" w:hAnsiTheme="minorHAnsi"/>
              <w:noProof/>
              <w:color w:val="auto"/>
              <w:sz w:val="22"/>
              <w:lang w:val="en-US"/>
            </w:rPr>
          </w:pPr>
          <w:hyperlink w:anchor="_Toc397245897" w:history="1">
            <w:r w:rsidR="00F8413C" w:rsidRPr="00A66662">
              <w:rPr>
                <w:rStyle w:val="Hyperlink"/>
                <w:noProof/>
              </w:rPr>
              <w:t>Practical implications for Australian intermediaries</w:t>
            </w:r>
            <w:r w:rsidR="00F8413C">
              <w:rPr>
                <w:noProof/>
                <w:webHidden/>
              </w:rPr>
              <w:tab/>
            </w:r>
            <w:r w:rsidR="00F8413C">
              <w:rPr>
                <w:noProof/>
                <w:webHidden/>
              </w:rPr>
              <w:fldChar w:fldCharType="begin"/>
            </w:r>
            <w:r w:rsidR="00F8413C">
              <w:rPr>
                <w:noProof/>
                <w:webHidden/>
              </w:rPr>
              <w:instrText xml:space="preserve"> PAGEREF _Toc397245897 \h </w:instrText>
            </w:r>
            <w:r w:rsidR="00F8413C">
              <w:rPr>
                <w:noProof/>
                <w:webHidden/>
              </w:rPr>
            </w:r>
            <w:r w:rsidR="00F8413C">
              <w:rPr>
                <w:noProof/>
                <w:webHidden/>
              </w:rPr>
              <w:fldChar w:fldCharType="separate"/>
            </w:r>
            <w:r w:rsidR="00C41A60">
              <w:rPr>
                <w:noProof/>
                <w:webHidden/>
              </w:rPr>
              <w:t>7</w:t>
            </w:r>
            <w:r w:rsidR="00F8413C">
              <w:rPr>
                <w:noProof/>
                <w:webHidden/>
              </w:rPr>
              <w:fldChar w:fldCharType="end"/>
            </w:r>
          </w:hyperlink>
        </w:p>
        <w:p w14:paraId="4B04C597" w14:textId="77777777" w:rsidR="00F8413C" w:rsidRDefault="006E03CC">
          <w:pPr>
            <w:pStyle w:val="TOC2"/>
            <w:rPr>
              <w:rFonts w:eastAsiaTheme="minorEastAsia"/>
              <w:lang w:val="en-US"/>
            </w:rPr>
          </w:pPr>
          <w:hyperlink w:anchor="_Toc397245898" w:history="1">
            <w:r w:rsidR="00F8413C" w:rsidRPr="00A66662">
              <w:rPr>
                <w:rStyle w:val="Hyperlink"/>
              </w:rPr>
              <w:t>New obligations to take proactive steps to reduce infringement</w:t>
            </w:r>
            <w:r w:rsidR="00F8413C">
              <w:rPr>
                <w:webHidden/>
              </w:rPr>
              <w:tab/>
            </w:r>
            <w:r w:rsidR="00F8413C">
              <w:rPr>
                <w:webHidden/>
              </w:rPr>
              <w:fldChar w:fldCharType="begin"/>
            </w:r>
            <w:r w:rsidR="00F8413C">
              <w:rPr>
                <w:webHidden/>
              </w:rPr>
              <w:instrText xml:space="preserve"> PAGEREF _Toc397245898 \h </w:instrText>
            </w:r>
            <w:r w:rsidR="00F8413C">
              <w:rPr>
                <w:webHidden/>
              </w:rPr>
            </w:r>
            <w:r w:rsidR="00F8413C">
              <w:rPr>
                <w:webHidden/>
              </w:rPr>
              <w:fldChar w:fldCharType="separate"/>
            </w:r>
            <w:r w:rsidR="00C41A60">
              <w:rPr>
                <w:webHidden/>
              </w:rPr>
              <w:t>8</w:t>
            </w:r>
            <w:r w:rsidR="00F8413C">
              <w:rPr>
                <w:webHidden/>
              </w:rPr>
              <w:fldChar w:fldCharType="end"/>
            </w:r>
          </w:hyperlink>
        </w:p>
        <w:p w14:paraId="111D0913" w14:textId="77777777" w:rsidR="00F8413C" w:rsidRDefault="006E03CC">
          <w:pPr>
            <w:pStyle w:val="TOC3"/>
            <w:rPr>
              <w:rFonts w:eastAsiaTheme="minorEastAsia"/>
              <w:noProof/>
              <w:lang w:val="en-US"/>
            </w:rPr>
          </w:pPr>
          <w:hyperlink w:anchor="_Toc397245899" w:history="1">
            <w:r w:rsidR="00F8413C" w:rsidRPr="00A66662">
              <w:rPr>
                <w:rStyle w:val="Hyperlink"/>
                <w:noProof/>
              </w:rPr>
              <w:t>Case study: Public Wi-Fi</w:t>
            </w:r>
            <w:r w:rsidR="00F8413C">
              <w:rPr>
                <w:noProof/>
                <w:webHidden/>
              </w:rPr>
              <w:tab/>
            </w:r>
            <w:r w:rsidR="00F8413C">
              <w:rPr>
                <w:noProof/>
                <w:webHidden/>
              </w:rPr>
              <w:fldChar w:fldCharType="begin"/>
            </w:r>
            <w:r w:rsidR="00F8413C">
              <w:rPr>
                <w:noProof/>
                <w:webHidden/>
              </w:rPr>
              <w:instrText xml:space="preserve"> PAGEREF _Toc397245899 \h </w:instrText>
            </w:r>
            <w:r w:rsidR="00F8413C">
              <w:rPr>
                <w:noProof/>
                <w:webHidden/>
              </w:rPr>
            </w:r>
            <w:r w:rsidR="00F8413C">
              <w:rPr>
                <w:noProof/>
                <w:webHidden/>
              </w:rPr>
              <w:fldChar w:fldCharType="separate"/>
            </w:r>
            <w:r w:rsidR="00C41A60">
              <w:rPr>
                <w:noProof/>
                <w:webHidden/>
              </w:rPr>
              <w:t>8</w:t>
            </w:r>
            <w:r w:rsidR="00F8413C">
              <w:rPr>
                <w:noProof/>
                <w:webHidden/>
              </w:rPr>
              <w:fldChar w:fldCharType="end"/>
            </w:r>
          </w:hyperlink>
        </w:p>
        <w:p w14:paraId="21F1E1DD" w14:textId="77777777" w:rsidR="00F8413C" w:rsidRDefault="006E03CC">
          <w:pPr>
            <w:pStyle w:val="TOC3"/>
            <w:rPr>
              <w:rFonts w:eastAsiaTheme="minorEastAsia"/>
              <w:noProof/>
              <w:lang w:val="en-US"/>
            </w:rPr>
          </w:pPr>
          <w:hyperlink w:anchor="_Toc397245900" w:history="1">
            <w:r w:rsidR="00F8413C" w:rsidRPr="00A66662">
              <w:rPr>
                <w:rStyle w:val="Hyperlink"/>
                <w:noProof/>
              </w:rPr>
              <w:t>New obligations for libraries, schools, universities, cloud providers and more</w:t>
            </w:r>
            <w:r w:rsidR="00F8413C">
              <w:rPr>
                <w:noProof/>
                <w:webHidden/>
              </w:rPr>
              <w:tab/>
            </w:r>
            <w:r w:rsidR="00F8413C">
              <w:rPr>
                <w:noProof/>
                <w:webHidden/>
              </w:rPr>
              <w:fldChar w:fldCharType="begin"/>
            </w:r>
            <w:r w:rsidR="00F8413C">
              <w:rPr>
                <w:noProof/>
                <w:webHidden/>
              </w:rPr>
              <w:instrText xml:space="preserve"> PAGEREF _Toc397245900 \h </w:instrText>
            </w:r>
            <w:r w:rsidR="00F8413C">
              <w:rPr>
                <w:noProof/>
                <w:webHidden/>
              </w:rPr>
            </w:r>
            <w:r w:rsidR="00F8413C">
              <w:rPr>
                <w:noProof/>
                <w:webHidden/>
              </w:rPr>
              <w:fldChar w:fldCharType="separate"/>
            </w:r>
            <w:r w:rsidR="00C41A60">
              <w:rPr>
                <w:noProof/>
                <w:webHidden/>
              </w:rPr>
              <w:t>9</w:t>
            </w:r>
            <w:r w:rsidR="00F8413C">
              <w:rPr>
                <w:noProof/>
                <w:webHidden/>
              </w:rPr>
              <w:fldChar w:fldCharType="end"/>
            </w:r>
          </w:hyperlink>
        </w:p>
        <w:p w14:paraId="5772AB75" w14:textId="77777777" w:rsidR="00F8413C" w:rsidRDefault="006E03CC">
          <w:pPr>
            <w:pStyle w:val="TOC2"/>
            <w:rPr>
              <w:rFonts w:eastAsiaTheme="minorEastAsia"/>
              <w:lang w:val="en-US"/>
            </w:rPr>
          </w:pPr>
          <w:hyperlink w:anchor="_Toc397245901" w:history="1">
            <w:r w:rsidR="00F8413C" w:rsidRPr="00A66662">
              <w:rPr>
                <w:rStyle w:val="Hyperlink"/>
              </w:rPr>
              <w:t>New pressure to enter into private enforcement deals</w:t>
            </w:r>
            <w:r w:rsidR="00F8413C">
              <w:rPr>
                <w:webHidden/>
              </w:rPr>
              <w:tab/>
            </w:r>
            <w:r w:rsidR="00F8413C">
              <w:rPr>
                <w:webHidden/>
              </w:rPr>
              <w:fldChar w:fldCharType="begin"/>
            </w:r>
            <w:r w:rsidR="00F8413C">
              <w:rPr>
                <w:webHidden/>
              </w:rPr>
              <w:instrText xml:space="preserve"> PAGEREF _Toc397245901 \h </w:instrText>
            </w:r>
            <w:r w:rsidR="00F8413C">
              <w:rPr>
                <w:webHidden/>
              </w:rPr>
            </w:r>
            <w:r w:rsidR="00F8413C">
              <w:rPr>
                <w:webHidden/>
              </w:rPr>
              <w:fldChar w:fldCharType="separate"/>
            </w:r>
            <w:r w:rsidR="00C41A60">
              <w:rPr>
                <w:webHidden/>
              </w:rPr>
              <w:t>11</w:t>
            </w:r>
            <w:r w:rsidR="00F8413C">
              <w:rPr>
                <w:webHidden/>
              </w:rPr>
              <w:fldChar w:fldCharType="end"/>
            </w:r>
          </w:hyperlink>
        </w:p>
        <w:p w14:paraId="65288EFA" w14:textId="77777777" w:rsidR="00F8413C" w:rsidRDefault="006E03CC">
          <w:pPr>
            <w:pStyle w:val="TOC2"/>
            <w:rPr>
              <w:rFonts w:eastAsiaTheme="minorEastAsia"/>
              <w:lang w:val="en-US"/>
            </w:rPr>
          </w:pPr>
          <w:hyperlink w:anchor="_Toc397245902" w:history="1">
            <w:r w:rsidR="00F8413C" w:rsidRPr="00A66662">
              <w:rPr>
                <w:rStyle w:val="Hyperlink"/>
                <w:lang w:eastAsia="zh-CN"/>
              </w:rPr>
              <w:t>Increased need to rely on ‘safe harbours’</w:t>
            </w:r>
            <w:r w:rsidR="00F8413C">
              <w:rPr>
                <w:webHidden/>
              </w:rPr>
              <w:tab/>
            </w:r>
            <w:r w:rsidR="00F8413C">
              <w:rPr>
                <w:webHidden/>
              </w:rPr>
              <w:fldChar w:fldCharType="begin"/>
            </w:r>
            <w:r w:rsidR="00F8413C">
              <w:rPr>
                <w:webHidden/>
              </w:rPr>
              <w:instrText xml:space="preserve"> PAGEREF _Toc397245902 \h </w:instrText>
            </w:r>
            <w:r w:rsidR="00F8413C">
              <w:rPr>
                <w:webHidden/>
              </w:rPr>
            </w:r>
            <w:r w:rsidR="00F8413C">
              <w:rPr>
                <w:webHidden/>
              </w:rPr>
              <w:fldChar w:fldCharType="separate"/>
            </w:r>
            <w:r w:rsidR="00C41A60">
              <w:rPr>
                <w:webHidden/>
              </w:rPr>
              <w:t>13</w:t>
            </w:r>
            <w:r w:rsidR="00F8413C">
              <w:rPr>
                <w:webHidden/>
              </w:rPr>
              <w:fldChar w:fldCharType="end"/>
            </w:r>
          </w:hyperlink>
        </w:p>
        <w:p w14:paraId="6002071A" w14:textId="77777777" w:rsidR="00F8413C" w:rsidRDefault="006E03CC">
          <w:pPr>
            <w:pStyle w:val="TOC2"/>
            <w:rPr>
              <w:rFonts w:eastAsiaTheme="minorEastAsia"/>
              <w:lang w:val="en-US"/>
            </w:rPr>
          </w:pPr>
          <w:hyperlink w:anchor="_Toc397245903" w:history="1">
            <w:r w:rsidR="00F8413C" w:rsidRPr="00A66662">
              <w:rPr>
                <w:rStyle w:val="Hyperlink"/>
              </w:rPr>
              <w:t>More red tape and regulation = reduced global competitiveness</w:t>
            </w:r>
            <w:r w:rsidR="00F8413C">
              <w:rPr>
                <w:webHidden/>
              </w:rPr>
              <w:tab/>
            </w:r>
            <w:r w:rsidR="00F8413C">
              <w:rPr>
                <w:webHidden/>
              </w:rPr>
              <w:fldChar w:fldCharType="begin"/>
            </w:r>
            <w:r w:rsidR="00F8413C">
              <w:rPr>
                <w:webHidden/>
              </w:rPr>
              <w:instrText xml:space="preserve"> PAGEREF _Toc397245903 \h </w:instrText>
            </w:r>
            <w:r w:rsidR="00F8413C">
              <w:rPr>
                <w:webHidden/>
              </w:rPr>
            </w:r>
            <w:r w:rsidR="00F8413C">
              <w:rPr>
                <w:webHidden/>
              </w:rPr>
              <w:fldChar w:fldCharType="separate"/>
            </w:r>
            <w:r w:rsidR="00C41A60">
              <w:rPr>
                <w:webHidden/>
              </w:rPr>
              <w:t>14</w:t>
            </w:r>
            <w:r w:rsidR="00F8413C">
              <w:rPr>
                <w:webHidden/>
              </w:rPr>
              <w:fldChar w:fldCharType="end"/>
            </w:r>
          </w:hyperlink>
        </w:p>
        <w:p w14:paraId="48D75B11" w14:textId="77777777" w:rsidR="00F8413C" w:rsidRDefault="006E03CC">
          <w:pPr>
            <w:pStyle w:val="TOC1"/>
            <w:rPr>
              <w:rFonts w:asciiTheme="minorHAnsi" w:eastAsiaTheme="minorEastAsia" w:hAnsiTheme="minorHAnsi"/>
              <w:noProof/>
              <w:color w:val="auto"/>
              <w:sz w:val="22"/>
              <w:lang w:val="en-US"/>
            </w:rPr>
          </w:pPr>
          <w:hyperlink w:anchor="_Toc397245904" w:history="1">
            <w:r w:rsidR="00F8413C" w:rsidRPr="00A66662">
              <w:rPr>
                <w:rStyle w:val="Hyperlink"/>
                <w:noProof/>
              </w:rPr>
              <w:t>Situating the proposal within the global context</w:t>
            </w:r>
            <w:r w:rsidR="00F8413C">
              <w:rPr>
                <w:noProof/>
                <w:webHidden/>
              </w:rPr>
              <w:tab/>
            </w:r>
            <w:r w:rsidR="00F8413C">
              <w:rPr>
                <w:noProof/>
                <w:webHidden/>
              </w:rPr>
              <w:fldChar w:fldCharType="begin"/>
            </w:r>
            <w:r w:rsidR="00F8413C">
              <w:rPr>
                <w:noProof/>
                <w:webHidden/>
              </w:rPr>
              <w:instrText xml:space="preserve"> PAGEREF _Toc397245904 \h </w:instrText>
            </w:r>
            <w:r w:rsidR="00F8413C">
              <w:rPr>
                <w:noProof/>
                <w:webHidden/>
              </w:rPr>
            </w:r>
            <w:r w:rsidR="00F8413C">
              <w:rPr>
                <w:noProof/>
                <w:webHidden/>
              </w:rPr>
              <w:fldChar w:fldCharType="separate"/>
            </w:r>
            <w:r w:rsidR="00C41A60">
              <w:rPr>
                <w:noProof/>
                <w:webHidden/>
              </w:rPr>
              <w:t>15</w:t>
            </w:r>
            <w:r w:rsidR="00F8413C">
              <w:rPr>
                <w:noProof/>
                <w:webHidden/>
              </w:rPr>
              <w:fldChar w:fldCharType="end"/>
            </w:r>
          </w:hyperlink>
        </w:p>
        <w:p w14:paraId="08CD873A" w14:textId="77777777" w:rsidR="00F8413C" w:rsidRDefault="006E03CC">
          <w:pPr>
            <w:pStyle w:val="TOC3"/>
            <w:rPr>
              <w:rFonts w:eastAsiaTheme="minorEastAsia"/>
              <w:noProof/>
              <w:lang w:val="en-US"/>
            </w:rPr>
          </w:pPr>
          <w:hyperlink w:anchor="_Toc397245905" w:history="1">
            <w:r w:rsidR="00F8413C" w:rsidRPr="00A66662">
              <w:rPr>
                <w:rStyle w:val="Hyperlink"/>
                <w:noProof/>
              </w:rPr>
              <w:t>What about graduated responses?</w:t>
            </w:r>
            <w:r w:rsidR="00F8413C">
              <w:rPr>
                <w:noProof/>
                <w:webHidden/>
              </w:rPr>
              <w:tab/>
            </w:r>
            <w:r w:rsidR="00F8413C">
              <w:rPr>
                <w:noProof/>
                <w:webHidden/>
              </w:rPr>
              <w:fldChar w:fldCharType="begin"/>
            </w:r>
            <w:r w:rsidR="00F8413C">
              <w:rPr>
                <w:noProof/>
                <w:webHidden/>
              </w:rPr>
              <w:instrText xml:space="preserve"> PAGEREF _Toc397245905 \h </w:instrText>
            </w:r>
            <w:r w:rsidR="00F8413C">
              <w:rPr>
                <w:noProof/>
                <w:webHidden/>
              </w:rPr>
            </w:r>
            <w:r w:rsidR="00F8413C">
              <w:rPr>
                <w:noProof/>
                <w:webHidden/>
              </w:rPr>
              <w:fldChar w:fldCharType="separate"/>
            </w:r>
            <w:r w:rsidR="00C41A60">
              <w:rPr>
                <w:noProof/>
                <w:webHidden/>
              </w:rPr>
              <w:t>18</w:t>
            </w:r>
            <w:r w:rsidR="00F8413C">
              <w:rPr>
                <w:noProof/>
                <w:webHidden/>
              </w:rPr>
              <w:fldChar w:fldCharType="end"/>
            </w:r>
          </w:hyperlink>
        </w:p>
        <w:p w14:paraId="4FC96CB3" w14:textId="77777777" w:rsidR="00F8413C" w:rsidRDefault="006E03CC">
          <w:pPr>
            <w:pStyle w:val="TOC1"/>
            <w:rPr>
              <w:rFonts w:asciiTheme="minorHAnsi" w:eastAsiaTheme="minorEastAsia" w:hAnsiTheme="minorHAnsi"/>
              <w:noProof/>
              <w:color w:val="auto"/>
              <w:sz w:val="22"/>
              <w:lang w:val="en-US"/>
            </w:rPr>
          </w:pPr>
          <w:hyperlink w:anchor="_Toc397245906" w:history="1">
            <w:r w:rsidR="00F8413C" w:rsidRPr="00A66662">
              <w:rPr>
                <w:rStyle w:val="Hyperlink"/>
                <w:noProof/>
              </w:rPr>
              <w:t>Conclusions</w:t>
            </w:r>
            <w:r w:rsidR="00F8413C">
              <w:rPr>
                <w:noProof/>
                <w:webHidden/>
              </w:rPr>
              <w:tab/>
            </w:r>
            <w:r w:rsidR="00F8413C">
              <w:rPr>
                <w:noProof/>
                <w:webHidden/>
              </w:rPr>
              <w:fldChar w:fldCharType="begin"/>
            </w:r>
            <w:r w:rsidR="00F8413C">
              <w:rPr>
                <w:noProof/>
                <w:webHidden/>
              </w:rPr>
              <w:instrText xml:space="preserve"> PAGEREF _Toc397245906 \h </w:instrText>
            </w:r>
            <w:r w:rsidR="00F8413C">
              <w:rPr>
                <w:noProof/>
                <w:webHidden/>
              </w:rPr>
            </w:r>
            <w:r w:rsidR="00F8413C">
              <w:rPr>
                <w:noProof/>
                <w:webHidden/>
              </w:rPr>
              <w:fldChar w:fldCharType="separate"/>
            </w:r>
            <w:r w:rsidR="00C41A60">
              <w:rPr>
                <w:noProof/>
                <w:webHidden/>
              </w:rPr>
              <w:t>18</w:t>
            </w:r>
            <w:r w:rsidR="00F8413C">
              <w:rPr>
                <w:noProof/>
                <w:webHidden/>
              </w:rPr>
              <w:fldChar w:fldCharType="end"/>
            </w:r>
          </w:hyperlink>
        </w:p>
        <w:p w14:paraId="7D5BE471" w14:textId="77777777" w:rsidR="00F8413C" w:rsidRDefault="006E03CC">
          <w:pPr>
            <w:pStyle w:val="TOC1"/>
            <w:rPr>
              <w:rFonts w:asciiTheme="minorHAnsi" w:eastAsiaTheme="minorEastAsia" w:hAnsiTheme="minorHAnsi"/>
              <w:noProof/>
              <w:color w:val="auto"/>
              <w:sz w:val="22"/>
              <w:lang w:val="en-US"/>
            </w:rPr>
          </w:pPr>
          <w:hyperlink w:anchor="_Toc397245907" w:history="1">
            <w:r w:rsidR="00F8413C" w:rsidRPr="00A66662">
              <w:rPr>
                <w:rStyle w:val="Hyperlink"/>
                <w:noProof/>
              </w:rPr>
              <w:t>About the author</w:t>
            </w:r>
            <w:r w:rsidR="00F8413C">
              <w:rPr>
                <w:noProof/>
                <w:webHidden/>
              </w:rPr>
              <w:tab/>
            </w:r>
            <w:r w:rsidR="00F8413C">
              <w:rPr>
                <w:noProof/>
                <w:webHidden/>
              </w:rPr>
              <w:fldChar w:fldCharType="begin"/>
            </w:r>
            <w:r w:rsidR="00F8413C">
              <w:rPr>
                <w:noProof/>
                <w:webHidden/>
              </w:rPr>
              <w:instrText xml:space="preserve"> PAGEREF _Toc397245907 \h </w:instrText>
            </w:r>
            <w:r w:rsidR="00F8413C">
              <w:rPr>
                <w:noProof/>
                <w:webHidden/>
              </w:rPr>
            </w:r>
            <w:r w:rsidR="00F8413C">
              <w:rPr>
                <w:noProof/>
                <w:webHidden/>
              </w:rPr>
              <w:fldChar w:fldCharType="separate"/>
            </w:r>
            <w:r w:rsidR="00C41A60">
              <w:rPr>
                <w:noProof/>
                <w:webHidden/>
              </w:rPr>
              <w:t>19</w:t>
            </w:r>
            <w:r w:rsidR="00F8413C">
              <w:rPr>
                <w:noProof/>
                <w:webHidden/>
              </w:rPr>
              <w:fldChar w:fldCharType="end"/>
            </w:r>
          </w:hyperlink>
        </w:p>
        <w:p w14:paraId="4957C5F3" w14:textId="77777777" w:rsidR="00F8413C" w:rsidRDefault="006E03CC">
          <w:pPr>
            <w:pStyle w:val="TOC1"/>
            <w:rPr>
              <w:rFonts w:asciiTheme="minorHAnsi" w:eastAsiaTheme="minorEastAsia" w:hAnsiTheme="minorHAnsi"/>
              <w:noProof/>
              <w:color w:val="auto"/>
              <w:sz w:val="22"/>
              <w:lang w:val="en-US"/>
            </w:rPr>
          </w:pPr>
          <w:hyperlink w:anchor="_Toc397245908" w:history="1">
            <w:r w:rsidR="00F8413C" w:rsidRPr="00A66662">
              <w:rPr>
                <w:rStyle w:val="Hyperlink"/>
                <w:noProof/>
              </w:rPr>
              <w:t>Appendix 1</w:t>
            </w:r>
            <w:r w:rsidR="00F8413C">
              <w:rPr>
                <w:noProof/>
                <w:webHidden/>
              </w:rPr>
              <w:tab/>
            </w:r>
            <w:r w:rsidR="00F8413C">
              <w:rPr>
                <w:noProof/>
                <w:webHidden/>
              </w:rPr>
              <w:fldChar w:fldCharType="begin"/>
            </w:r>
            <w:r w:rsidR="00F8413C">
              <w:rPr>
                <w:noProof/>
                <w:webHidden/>
              </w:rPr>
              <w:instrText xml:space="preserve"> PAGEREF _Toc397245908 \h </w:instrText>
            </w:r>
            <w:r w:rsidR="00F8413C">
              <w:rPr>
                <w:noProof/>
                <w:webHidden/>
              </w:rPr>
            </w:r>
            <w:r w:rsidR="00F8413C">
              <w:rPr>
                <w:noProof/>
                <w:webHidden/>
              </w:rPr>
              <w:fldChar w:fldCharType="separate"/>
            </w:r>
            <w:r w:rsidR="00C41A60">
              <w:rPr>
                <w:noProof/>
                <w:webHidden/>
              </w:rPr>
              <w:t>19</w:t>
            </w:r>
            <w:r w:rsidR="00F8413C">
              <w:rPr>
                <w:noProof/>
                <w:webHidden/>
              </w:rPr>
              <w:fldChar w:fldCharType="end"/>
            </w:r>
          </w:hyperlink>
        </w:p>
        <w:p w14:paraId="4751E1B4" w14:textId="77777777" w:rsidR="00F8413C" w:rsidRDefault="006E03CC">
          <w:pPr>
            <w:pStyle w:val="TOC3"/>
            <w:rPr>
              <w:rFonts w:eastAsiaTheme="minorEastAsia"/>
              <w:noProof/>
              <w:lang w:val="en-US"/>
            </w:rPr>
          </w:pPr>
          <w:hyperlink w:anchor="_Toc397245909" w:history="1">
            <w:r w:rsidR="00F8413C" w:rsidRPr="00A66662">
              <w:rPr>
                <w:rStyle w:val="Hyperlink"/>
                <w:noProof/>
              </w:rPr>
              <w:t>List of cases reviewed for the purpose of footnote 29 and accompanying text:</w:t>
            </w:r>
            <w:r w:rsidR="00F8413C">
              <w:rPr>
                <w:noProof/>
                <w:webHidden/>
              </w:rPr>
              <w:tab/>
            </w:r>
            <w:r w:rsidR="00F8413C">
              <w:rPr>
                <w:noProof/>
                <w:webHidden/>
              </w:rPr>
              <w:fldChar w:fldCharType="begin"/>
            </w:r>
            <w:r w:rsidR="00F8413C">
              <w:rPr>
                <w:noProof/>
                <w:webHidden/>
              </w:rPr>
              <w:instrText xml:space="preserve"> PAGEREF _Toc397245909 \h </w:instrText>
            </w:r>
            <w:r w:rsidR="00F8413C">
              <w:rPr>
                <w:noProof/>
                <w:webHidden/>
              </w:rPr>
            </w:r>
            <w:r w:rsidR="00F8413C">
              <w:rPr>
                <w:noProof/>
                <w:webHidden/>
              </w:rPr>
              <w:fldChar w:fldCharType="separate"/>
            </w:r>
            <w:r w:rsidR="00C41A60">
              <w:rPr>
                <w:noProof/>
                <w:webHidden/>
              </w:rPr>
              <w:t>19</w:t>
            </w:r>
            <w:r w:rsidR="00F8413C">
              <w:rPr>
                <w:noProof/>
                <w:webHidden/>
              </w:rPr>
              <w:fldChar w:fldCharType="end"/>
            </w:r>
          </w:hyperlink>
        </w:p>
        <w:p w14:paraId="53A15AEB" w14:textId="77777777" w:rsidR="00A03156" w:rsidRPr="00805854" w:rsidRDefault="00D45237" w:rsidP="00D4413D">
          <w:pPr>
            <w:jc w:val="both"/>
          </w:pPr>
          <w:r w:rsidRPr="00805854">
            <w:fldChar w:fldCharType="end"/>
          </w:r>
        </w:p>
      </w:sdtContent>
    </w:sdt>
    <w:p w14:paraId="07DDBEEB" w14:textId="77777777" w:rsidR="00F21027" w:rsidRDefault="00F21027" w:rsidP="00D4413D">
      <w:pPr>
        <w:pStyle w:val="Heading1"/>
        <w:jc w:val="both"/>
        <w:sectPr w:rsidR="00F21027" w:rsidSect="0071254A">
          <w:pgSz w:w="11907" w:h="16840" w:code="9"/>
          <w:pgMar w:top="720" w:right="1077" w:bottom="720" w:left="1077" w:header="578" w:footer="720" w:gutter="0"/>
          <w:pgNumType w:fmt="lowerRoman" w:start="0"/>
          <w:cols w:space="720"/>
          <w:titlePg/>
          <w:docGrid w:linePitch="360"/>
        </w:sectPr>
      </w:pPr>
    </w:p>
    <w:p w14:paraId="7029D75D" w14:textId="60F1FBB6" w:rsidR="008600B6" w:rsidRPr="00805854" w:rsidRDefault="008E137B" w:rsidP="00D4413D">
      <w:pPr>
        <w:pStyle w:val="Heading1"/>
        <w:jc w:val="both"/>
      </w:pPr>
      <w:bookmarkStart w:id="2" w:name="_Toc397245889"/>
      <w:r w:rsidRPr="00805854">
        <w:lastRenderedPageBreak/>
        <w:t>‘</w:t>
      </w:r>
      <w:r w:rsidR="008600B6" w:rsidRPr="00805854">
        <w:t>A</w:t>
      </w:r>
      <w:r w:rsidRPr="00805854">
        <w:t>uthorisation’ in Australian law</w:t>
      </w:r>
      <w:bookmarkEnd w:id="2"/>
    </w:p>
    <w:p w14:paraId="1037FD81" w14:textId="77777777" w:rsidR="008600B6" w:rsidRPr="00805854" w:rsidRDefault="008600B6" w:rsidP="00D4413D">
      <w:pPr>
        <w:jc w:val="both"/>
      </w:pPr>
    </w:p>
    <w:p w14:paraId="4F04F4EF" w14:textId="07AC0694" w:rsidR="00A03156" w:rsidRPr="00805854" w:rsidRDefault="003E2116" w:rsidP="00D4413D">
      <w:pPr>
        <w:pStyle w:val="Heading2"/>
        <w:jc w:val="both"/>
      </w:pPr>
      <w:bookmarkStart w:id="3" w:name="_Toc397245890"/>
      <w:r>
        <w:t>O</w:t>
      </w:r>
      <w:r w:rsidR="00A03156" w:rsidRPr="00805854">
        <w:t>verview of the law</w:t>
      </w:r>
      <w:bookmarkEnd w:id="3"/>
    </w:p>
    <w:p w14:paraId="0C356213" w14:textId="77777777" w:rsidR="009A20E0" w:rsidRPr="00805854" w:rsidRDefault="009A20E0" w:rsidP="00D4413D">
      <w:pPr>
        <w:jc w:val="both"/>
        <w:rPr>
          <w:highlight w:val="yellow"/>
        </w:rPr>
      </w:pPr>
    </w:p>
    <w:p w14:paraId="77001FEE" w14:textId="296416B9" w:rsidR="009F71F6" w:rsidRPr="00805854" w:rsidRDefault="009F71F6" w:rsidP="00D4413D">
      <w:pPr>
        <w:jc w:val="both"/>
      </w:pPr>
      <w:r w:rsidRPr="00805854">
        <w:t xml:space="preserve">As a matter of general principle, Australian law does not impose obligations on unrelated </w:t>
      </w:r>
      <w:r w:rsidR="00A20FFD" w:rsidRPr="00805854">
        <w:t>organi</w:t>
      </w:r>
      <w:r w:rsidR="00A20FFD">
        <w:t>s</w:t>
      </w:r>
      <w:r w:rsidR="00A20FFD" w:rsidRPr="00805854">
        <w:t xml:space="preserve">ations </w:t>
      </w:r>
      <w:r w:rsidRPr="00805854">
        <w:t xml:space="preserve">to take proactive steps to protect the economic interests of others. As McHugh J reminded us in </w:t>
      </w:r>
      <w:r w:rsidRPr="00805854">
        <w:rPr>
          <w:i/>
        </w:rPr>
        <w:t>Perre v Apand</w:t>
      </w:r>
      <w:r w:rsidRPr="00805854">
        <w:t xml:space="preserve">, citing a long </w:t>
      </w:r>
      <w:r w:rsidR="00A20FFD">
        <w:t>list</w:t>
      </w:r>
      <w:r w:rsidR="00A20FFD" w:rsidRPr="00805854">
        <w:t xml:space="preserve"> </w:t>
      </w:r>
      <w:r w:rsidRPr="00805854">
        <w:t>of authorities:</w:t>
      </w:r>
    </w:p>
    <w:p w14:paraId="5AD5F408" w14:textId="77777777" w:rsidR="009F71F6" w:rsidRPr="00805854" w:rsidRDefault="009F71F6" w:rsidP="00D4413D">
      <w:pPr>
        <w:ind w:left="720"/>
        <w:jc w:val="both"/>
      </w:pPr>
      <w:r w:rsidRPr="00805854">
        <w:t>As long as a person is legitimately protecting or pursuing his or her social or business interests, the common law will not require that person to be concerned with the effect of his or her conduct on the economic interests of other persons. And that is so even when that person knows that his or her actions will cause loss to a specific individual.</w:t>
      </w:r>
      <w:r w:rsidRPr="00805854">
        <w:rPr>
          <w:rStyle w:val="FootnoteReference"/>
        </w:rPr>
        <w:footnoteReference w:id="17"/>
      </w:r>
    </w:p>
    <w:p w14:paraId="5CFFB96F" w14:textId="77777777" w:rsidR="009F71F6" w:rsidRPr="00805854" w:rsidRDefault="009F71F6" w:rsidP="00D4413D">
      <w:pPr>
        <w:jc w:val="both"/>
      </w:pPr>
      <w:r w:rsidRPr="00805854">
        <w:t>That situation changes only where a defendant has sufficient proximity to that loss.</w:t>
      </w:r>
      <w:r w:rsidRPr="00805854">
        <w:rPr>
          <w:rStyle w:val="FootnoteReference"/>
        </w:rPr>
        <w:footnoteReference w:id="18"/>
      </w:r>
      <w:r w:rsidRPr="00805854">
        <w:t xml:space="preserve"> </w:t>
      </w:r>
    </w:p>
    <w:p w14:paraId="5979D20E" w14:textId="4E630FFC" w:rsidR="009F71F6" w:rsidRPr="00805854" w:rsidRDefault="009F71F6" w:rsidP="00D4413D">
      <w:pPr>
        <w:jc w:val="both"/>
      </w:pPr>
      <w:r w:rsidRPr="00805854">
        <w:t xml:space="preserve">These general principles apply to a range of legal situations, including liability for </w:t>
      </w:r>
      <w:r w:rsidR="00CD1BA6">
        <w:t xml:space="preserve">copyright </w:t>
      </w:r>
      <w:r w:rsidRPr="00805854">
        <w:t xml:space="preserve">infringement committed by third parties. Thus the law does not make everyone liable for failing to proactively protect the copyrights of others; </w:t>
      </w:r>
      <w:r w:rsidR="008D1195" w:rsidRPr="00805854">
        <w:t xml:space="preserve">liability </w:t>
      </w:r>
      <w:r w:rsidR="00BF2B96">
        <w:t xml:space="preserve">arises </w:t>
      </w:r>
      <w:r w:rsidR="00D92981" w:rsidRPr="00D92981">
        <w:t xml:space="preserve">only </w:t>
      </w:r>
      <w:r w:rsidRPr="00805854">
        <w:t xml:space="preserve">where </w:t>
      </w:r>
      <w:r w:rsidR="00BF2B96">
        <w:t>the</w:t>
      </w:r>
      <w:r w:rsidR="00BF2B96" w:rsidRPr="00805854">
        <w:t xml:space="preserve"> </w:t>
      </w:r>
      <w:r w:rsidRPr="00805854">
        <w:t xml:space="preserve">defendant has sufficient involvement to justify </w:t>
      </w:r>
      <w:r w:rsidR="00D92981">
        <w:t>its being held responsible.</w:t>
      </w:r>
      <w:r w:rsidR="0078729A">
        <w:rPr>
          <w:rStyle w:val="FootnoteReference"/>
        </w:rPr>
        <w:footnoteReference w:id="19"/>
      </w:r>
      <w:r w:rsidR="00D92981">
        <w:t xml:space="preserve"> </w:t>
      </w:r>
    </w:p>
    <w:p w14:paraId="317C5128" w14:textId="1D08309B" w:rsidR="009F71F6" w:rsidRPr="00805854" w:rsidRDefault="009F71F6" w:rsidP="00D4413D">
      <w:pPr>
        <w:jc w:val="both"/>
      </w:pPr>
      <w:r w:rsidRPr="00805854">
        <w:t xml:space="preserve">In Australia, the legal mechanism for determining whether </w:t>
      </w:r>
      <w:r w:rsidR="0028286E">
        <w:t xml:space="preserve">a </w:t>
      </w:r>
      <w:r w:rsidR="00CD1BA6">
        <w:t>defendant is sufficiently involved</w:t>
      </w:r>
      <w:r w:rsidR="009859EB">
        <w:t xml:space="preserve"> to warrant liability</w:t>
      </w:r>
      <w:r w:rsidRPr="00805854">
        <w:t xml:space="preserve"> is a doctrine called authorisation. </w:t>
      </w:r>
      <w:r w:rsidRPr="00805854">
        <w:rPr>
          <w:rFonts w:eastAsiaTheme="minorEastAsia"/>
          <w:bCs/>
          <w:lang w:eastAsia="zh-CN"/>
        </w:rPr>
        <w:t xml:space="preserve">Its current statutory basis is the </w:t>
      </w:r>
      <w:r w:rsidRPr="00805854">
        <w:rPr>
          <w:rFonts w:eastAsiaTheme="minorEastAsia"/>
          <w:bCs/>
          <w:i/>
          <w:iCs/>
          <w:lang w:eastAsia="zh-CN"/>
        </w:rPr>
        <w:t>Copyright Act 1968</w:t>
      </w:r>
      <w:r w:rsidRPr="00805854">
        <w:rPr>
          <w:rFonts w:eastAsiaTheme="minorEastAsia"/>
          <w:bCs/>
          <w:lang w:eastAsia="zh-CN"/>
        </w:rPr>
        <w:t xml:space="preserve"> (Cth), which grants copyright owners </w:t>
      </w:r>
      <w:r w:rsidR="00BF2B96">
        <w:rPr>
          <w:rFonts w:eastAsiaTheme="minorEastAsia"/>
          <w:bCs/>
          <w:lang w:eastAsia="zh-CN"/>
        </w:rPr>
        <w:t xml:space="preserve">the </w:t>
      </w:r>
      <w:r w:rsidRPr="00805854">
        <w:rPr>
          <w:rFonts w:eastAsiaTheme="minorEastAsia"/>
          <w:bCs/>
          <w:lang w:eastAsia="zh-CN"/>
        </w:rPr>
        <w:t xml:space="preserve">exclusive right to do certain acts with regard to copyrighted material, </w:t>
      </w:r>
      <w:r w:rsidR="00BF2B96">
        <w:rPr>
          <w:rFonts w:eastAsiaTheme="minorEastAsia"/>
          <w:bCs/>
          <w:lang w:eastAsia="zh-CN"/>
        </w:rPr>
        <w:t>including the exclusive right to</w:t>
      </w:r>
      <w:r w:rsidRPr="00805854">
        <w:rPr>
          <w:rFonts w:eastAsiaTheme="minorEastAsia"/>
          <w:bCs/>
          <w:lang w:eastAsia="zh-CN"/>
        </w:rPr>
        <w:t xml:space="preserve"> ‘to authorize’ </w:t>
      </w:r>
      <w:r w:rsidR="00BF2B96">
        <w:rPr>
          <w:rFonts w:eastAsiaTheme="minorEastAsia"/>
          <w:bCs/>
          <w:lang w:eastAsia="zh-CN"/>
        </w:rPr>
        <w:t xml:space="preserve">another person </w:t>
      </w:r>
      <w:r w:rsidR="00BB17A7">
        <w:rPr>
          <w:rFonts w:eastAsiaTheme="minorEastAsia"/>
          <w:bCs/>
          <w:lang w:eastAsia="zh-CN"/>
        </w:rPr>
        <w:t>to do such acts (</w:t>
      </w:r>
      <w:r w:rsidR="00BF2B96">
        <w:rPr>
          <w:rFonts w:eastAsiaTheme="minorEastAsia"/>
          <w:bCs/>
          <w:lang w:eastAsia="zh-CN"/>
        </w:rPr>
        <w:t xml:space="preserve">and makes it an infringement for a person to do </w:t>
      </w:r>
      <w:r w:rsidR="007E7DE6">
        <w:rPr>
          <w:rFonts w:eastAsiaTheme="minorEastAsia"/>
          <w:bCs/>
          <w:lang w:eastAsia="zh-CN"/>
        </w:rPr>
        <w:t>those</w:t>
      </w:r>
      <w:r w:rsidR="00BF2B96">
        <w:rPr>
          <w:rFonts w:eastAsiaTheme="minorEastAsia"/>
          <w:bCs/>
          <w:lang w:eastAsia="zh-CN"/>
        </w:rPr>
        <w:t xml:space="preserve"> acts without permission or ‘to authorize’ another person to do </w:t>
      </w:r>
      <w:r w:rsidR="00BB17A7">
        <w:rPr>
          <w:rFonts w:eastAsiaTheme="minorEastAsia"/>
          <w:bCs/>
          <w:lang w:eastAsia="zh-CN"/>
        </w:rPr>
        <w:t>so)</w:t>
      </w:r>
      <w:r w:rsidRPr="00805854">
        <w:rPr>
          <w:rFonts w:eastAsiaTheme="minorEastAsia"/>
          <w:bCs/>
          <w:lang w:eastAsia="zh-CN"/>
        </w:rPr>
        <w:t>.</w:t>
      </w:r>
      <w:r w:rsidRPr="00805854">
        <w:rPr>
          <w:rStyle w:val="FootnoteReference"/>
          <w:rFonts w:eastAsiaTheme="minorEastAsia"/>
          <w:bCs/>
          <w:lang w:eastAsia="zh-CN"/>
        </w:rPr>
        <w:footnoteReference w:id="20"/>
      </w:r>
    </w:p>
    <w:p w14:paraId="09423EDB" w14:textId="77777777" w:rsidR="009D04B6" w:rsidRPr="00805854" w:rsidRDefault="009D04B6" w:rsidP="00D4413D">
      <w:pPr>
        <w:pStyle w:val="Heading3"/>
        <w:spacing w:after="240"/>
        <w:jc w:val="both"/>
        <w:rPr>
          <w:lang w:eastAsia="zh-CN"/>
        </w:rPr>
      </w:pPr>
      <w:bookmarkStart w:id="4" w:name="_Toc397245891"/>
      <w:r w:rsidRPr="00805854">
        <w:rPr>
          <w:lang w:eastAsia="zh-CN"/>
        </w:rPr>
        <w:t>Ongoing significance of the common law</w:t>
      </w:r>
      <w:bookmarkEnd w:id="4"/>
    </w:p>
    <w:p w14:paraId="4D720A6F" w14:textId="12CC89D4" w:rsidR="00212837" w:rsidRPr="00805854" w:rsidRDefault="004E6DD1" w:rsidP="00D4413D">
      <w:pPr>
        <w:jc w:val="both"/>
        <w:rPr>
          <w:rFonts w:eastAsiaTheme="minorEastAsia"/>
          <w:bCs/>
          <w:iCs/>
          <w:lang w:eastAsia="zh-CN"/>
        </w:rPr>
      </w:pPr>
      <w:r w:rsidRPr="00805854">
        <w:rPr>
          <w:rFonts w:eastAsiaTheme="minorEastAsia"/>
          <w:bCs/>
          <w:lang w:eastAsia="zh-CN"/>
        </w:rPr>
        <w:t>Despite its statutory basis, f</w:t>
      </w:r>
      <w:r w:rsidR="001C2F93" w:rsidRPr="00805854">
        <w:rPr>
          <w:rFonts w:eastAsiaTheme="minorEastAsia"/>
          <w:bCs/>
          <w:lang w:eastAsia="zh-CN"/>
        </w:rPr>
        <w:t xml:space="preserve">or </w:t>
      </w:r>
      <w:r w:rsidR="00FA463E">
        <w:rPr>
          <w:rFonts w:eastAsiaTheme="minorEastAsia"/>
          <w:bCs/>
          <w:lang w:eastAsia="zh-CN"/>
        </w:rPr>
        <w:t>most</w:t>
      </w:r>
      <w:r w:rsidR="001C2F93" w:rsidRPr="00805854">
        <w:rPr>
          <w:rFonts w:eastAsiaTheme="minorEastAsia"/>
          <w:bCs/>
          <w:lang w:eastAsia="zh-CN"/>
        </w:rPr>
        <w:t xml:space="preserve"> of its century-long existence</w:t>
      </w:r>
      <w:r w:rsidRPr="00805854">
        <w:rPr>
          <w:rFonts w:eastAsiaTheme="minorEastAsia"/>
          <w:bCs/>
          <w:lang w:eastAsia="zh-CN"/>
        </w:rPr>
        <w:t xml:space="preserve"> </w:t>
      </w:r>
      <w:r w:rsidR="001C2F93" w:rsidRPr="00805854">
        <w:rPr>
          <w:rFonts w:eastAsiaTheme="minorEastAsia"/>
          <w:bCs/>
          <w:lang w:eastAsia="zh-CN"/>
        </w:rPr>
        <w:t xml:space="preserve">authorisation was </w:t>
      </w:r>
      <w:r w:rsidRPr="00805854">
        <w:rPr>
          <w:rFonts w:eastAsiaTheme="minorEastAsia"/>
          <w:bCs/>
          <w:lang w:eastAsia="zh-CN"/>
        </w:rPr>
        <w:t>shaped entirely</w:t>
      </w:r>
      <w:r w:rsidR="001C2F93" w:rsidRPr="00805854">
        <w:rPr>
          <w:rFonts w:eastAsiaTheme="minorEastAsia"/>
          <w:bCs/>
          <w:lang w:eastAsia="zh-CN"/>
        </w:rPr>
        <w:t xml:space="preserve"> by the common law. </w:t>
      </w:r>
      <w:r w:rsidR="00003AD3" w:rsidRPr="00805854">
        <w:rPr>
          <w:rFonts w:eastAsiaTheme="minorEastAsia"/>
          <w:bCs/>
          <w:lang w:eastAsia="zh-CN"/>
        </w:rPr>
        <w:t xml:space="preserve">The </w:t>
      </w:r>
      <w:r w:rsidR="001023DA" w:rsidRPr="00805854">
        <w:rPr>
          <w:rFonts w:eastAsiaTheme="minorEastAsia"/>
          <w:bCs/>
          <w:lang w:eastAsia="zh-CN"/>
        </w:rPr>
        <w:t xml:space="preserve">leading authority </w:t>
      </w:r>
      <w:r w:rsidR="00EF2ED1" w:rsidRPr="00805854">
        <w:rPr>
          <w:rFonts w:eastAsiaTheme="minorEastAsia"/>
          <w:bCs/>
          <w:lang w:eastAsia="zh-CN"/>
        </w:rPr>
        <w:t>is</w:t>
      </w:r>
      <w:r w:rsidR="00DA0D1C" w:rsidRPr="00805854">
        <w:rPr>
          <w:rFonts w:eastAsiaTheme="minorEastAsia"/>
          <w:bCs/>
          <w:lang w:eastAsia="zh-CN"/>
        </w:rPr>
        <w:t xml:space="preserve"> the High Court’s decision in</w:t>
      </w:r>
      <w:r w:rsidR="001023DA" w:rsidRPr="00805854">
        <w:rPr>
          <w:rFonts w:eastAsiaTheme="minorEastAsia"/>
          <w:bCs/>
          <w:lang w:eastAsia="zh-CN"/>
        </w:rPr>
        <w:t xml:space="preserve"> </w:t>
      </w:r>
      <w:r w:rsidR="001023DA" w:rsidRPr="00805854">
        <w:rPr>
          <w:rFonts w:eastAsiaTheme="minorEastAsia"/>
          <w:bCs/>
          <w:i/>
          <w:lang w:eastAsia="zh-CN"/>
        </w:rPr>
        <w:t>University of New South Wales v Moorhouse</w:t>
      </w:r>
      <w:r w:rsidR="00DA0D1C" w:rsidRPr="00805854">
        <w:rPr>
          <w:rFonts w:eastAsiaTheme="minorEastAsia"/>
          <w:bCs/>
          <w:iCs/>
          <w:lang w:eastAsia="zh-CN"/>
        </w:rPr>
        <w:t>.</w:t>
      </w:r>
      <w:r w:rsidR="00B54BB3">
        <w:rPr>
          <w:rStyle w:val="FootnoteReference"/>
          <w:rFonts w:eastAsiaTheme="minorEastAsia"/>
          <w:bCs/>
          <w:iCs/>
          <w:lang w:eastAsia="zh-CN"/>
        </w:rPr>
        <w:footnoteReference w:id="21"/>
      </w:r>
      <w:r w:rsidR="001023DA" w:rsidRPr="00805854">
        <w:rPr>
          <w:rFonts w:eastAsiaTheme="minorEastAsia"/>
          <w:bCs/>
          <w:iCs/>
          <w:lang w:eastAsia="zh-CN"/>
        </w:rPr>
        <w:t xml:space="preserve">  </w:t>
      </w:r>
      <w:r w:rsidR="00D91064" w:rsidRPr="00805854">
        <w:rPr>
          <w:rFonts w:eastAsiaTheme="minorEastAsia"/>
          <w:bCs/>
          <w:lang w:eastAsia="zh-CN"/>
        </w:rPr>
        <w:t>In that case</w:t>
      </w:r>
      <w:r w:rsidR="00DA0D1C" w:rsidRPr="00805854">
        <w:rPr>
          <w:rFonts w:eastAsiaTheme="minorEastAsia"/>
          <w:bCs/>
          <w:iCs/>
          <w:lang w:eastAsia="zh-CN"/>
        </w:rPr>
        <w:t xml:space="preserve"> publishers </w:t>
      </w:r>
      <w:r w:rsidR="00212837" w:rsidRPr="00805854">
        <w:rPr>
          <w:rFonts w:eastAsiaTheme="minorEastAsia"/>
          <w:bCs/>
          <w:iCs/>
          <w:lang w:eastAsia="zh-CN"/>
        </w:rPr>
        <w:t>sued the University of New South Wales for ‘authorising’ infringements that occurred by use of photocopying facilities located adjacent to books in one of its libraries. After defining ‘authorisation’ as ‘sanctioning, approving or countenancing’ infringement, the High Court ultimately held that the University was</w:t>
      </w:r>
      <w:r w:rsidR="00B54BB3">
        <w:rPr>
          <w:rFonts w:eastAsiaTheme="minorEastAsia"/>
          <w:bCs/>
          <w:iCs/>
          <w:lang w:eastAsia="zh-CN"/>
        </w:rPr>
        <w:t xml:space="preserve"> indeed</w:t>
      </w:r>
      <w:r w:rsidR="00212837" w:rsidRPr="00805854">
        <w:rPr>
          <w:rFonts w:eastAsiaTheme="minorEastAsia"/>
          <w:bCs/>
          <w:iCs/>
          <w:lang w:eastAsia="zh-CN"/>
        </w:rPr>
        <w:t xml:space="preserve"> liable for authorisi</w:t>
      </w:r>
      <w:r w:rsidR="00D91064" w:rsidRPr="00805854">
        <w:rPr>
          <w:rFonts w:eastAsiaTheme="minorEastAsia"/>
          <w:bCs/>
          <w:iCs/>
          <w:lang w:eastAsia="zh-CN"/>
        </w:rPr>
        <w:t>ng the infringing copying</w:t>
      </w:r>
      <w:r w:rsidR="00212837" w:rsidRPr="00805854">
        <w:rPr>
          <w:rFonts w:eastAsiaTheme="minorEastAsia"/>
          <w:bCs/>
          <w:iCs/>
          <w:lang w:eastAsia="zh-CN"/>
        </w:rPr>
        <w:t xml:space="preserve">. </w:t>
      </w:r>
      <w:r w:rsidR="00BC28E1" w:rsidRPr="00805854">
        <w:rPr>
          <w:rFonts w:eastAsiaTheme="minorEastAsia"/>
          <w:bCs/>
          <w:iCs/>
          <w:lang w:eastAsia="zh-CN"/>
        </w:rPr>
        <w:t>Gibbs</w:t>
      </w:r>
      <w:r w:rsidR="008D5715" w:rsidRPr="00805854">
        <w:rPr>
          <w:rFonts w:eastAsiaTheme="minorEastAsia"/>
          <w:bCs/>
          <w:iCs/>
          <w:lang w:eastAsia="zh-CN"/>
        </w:rPr>
        <w:t xml:space="preserve"> J</w:t>
      </w:r>
      <w:r w:rsidR="00BC28E1" w:rsidRPr="00805854">
        <w:rPr>
          <w:rFonts w:eastAsiaTheme="minorEastAsia"/>
          <w:bCs/>
          <w:iCs/>
          <w:lang w:eastAsia="zh-CN"/>
        </w:rPr>
        <w:t xml:space="preserve"> </w:t>
      </w:r>
      <w:r w:rsidR="00212837" w:rsidRPr="00805854">
        <w:rPr>
          <w:rFonts w:eastAsiaTheme="minorEastAsia"/>
          <w:bCs/>
          <w:iCs/>
          <w:lang w:eastAsia="zh-CN"/>
        </w:rPr>
        <w:t>held</w:t>
      </w:r>
      <w:r w:rsidR="00BC28E1" w:rsidRPr="00805854">
        <w:rPr>
          <w:rFonts w:eastAsiaTheme="minorEastAsia"/>
          <w:bCs/>
          <w:iCs/>
          <w:lang w:eastAsia="zh-CN"/>
        </w:rPr>
        <w:t xml:space="preserve"> that,</w:t>
      </w:r>
    </w:p>
    <w:p w14:paraId="2B072AFA" w14:textId="5E3D63B4" w:rsidR="00212837" w:rsidRPr="00805854" w:rsidRDefault="00212837" w:rsidP="00D4413D">
      <w:pPr>
        <w:ind w:left="720"/>
        <w:jc w:val="both"/>
        <w:rPr>
          <w:rFonts w:eastAsiaTheme="minorEastAsia"/>
          <w:bCs/>
          <w:iCs/>
          <w:lang w:eastAsia="zh-CN"/>
        </w:rPr>
      </w:pPr>
      <w:r w:rsidRPr="00805854">
        <w:rPr>
          <w:rFonts w:eastAsiaTheme="minorEastAsia"/>
          <w:bCs/>
          <w:iCs/>
          <w:lang w:eastAsia="zh-CN"/>
        </w:rPr>
        <w:t xml:space="preserve">[A] person who has under his control the means by which an infringement of copyright may be committed – such as a photocopying machine – and who makes it available to other persons, knowing, or having reason to suspect, that it is likely to be used for the purpose of committing an </w:t>
      </w:r>
      <w:r w:rsidRPr="00805854">
        <w:rPr>
          <w:rFonts w:eastAsiaTheme="minorEastAsia"/>
          <w:bCs/>
          <w:iCs/>
          <w:lang w:eastAsia="zh-CN"/>
        </w:rPr>
        <w:lastRenderedPageBreak/>
        <w:t>infringement, and omitting to take reasonable steps to limit its use to legitimate purposes, would authorize any infringement that resulted from its use</w:t>
      </w:r>
      <w:r w:rsidR="00F73F72">
        <w:rPr>
          <w:rFonts w:eastAsiaTheme="minorEastAsia"/>
          <w:bCs/>
          <w:iCs/>
          <w:lang w:eastAsia="zh-CN"/>
        </w:rPr>
        <w:t>.</w:t>
      </w:r>
      <w:r w:rsidR="00B54BB3">
        <w:rPr>
          <w:rStyle w:val="FootnoteReference"/>
          <w:rFonts w:eastAsiaTheme="minorEastAsia"/>
          <w:bCs/>
          <w:iCs/>
          <w:lang w:eastAsia="zh-CN"/>
        </w:rPr>
        <w:footnoteReference w:id="22"/>
      </w:r>
      <w:r w:rsidR="00675C9B" w:rsidRPr="00805854">
        <w:rPr>
          <w:rFonts w:eastAsiaTheme="minorEastAsia"/>
          <w:bCs/>
          <w:iCs/>
          <w:lang w:eastAsia="zh-CN"/>
        </w:rPr>
        <w:t xml:space="preserve"> </w:t>
      </w:r>
    </w:p>
    <w:p w14:paraId="4D088CD1" w14:textId="54458A3B" w:rsidR="006E1FBA" w:rsidRPr="00805854" w:rsidRDefault="00EF2ED1" w:rsidP="00D4413D">
      <w:pPr>
        <w:jc w:val="both"/>
        <w:rPr>
          <w:rFonts w:eastAsiaTheme="minorEastAsia"/>
          <w:bCs/>
          <w:lang w:eastAsia="zh-CN"/>
        </w:rPr>
      </w:pPr>
      <w:r w:rsidRPr="00805854">
        <w:rPr>
          <w:rFonts w:eastAsiaTheme="minorEastAsia"/>
          <w:bCs/>
          <w:lang w:eastAsia="zh-CN"/>
        </w:rPr>
        <w:t xml:space="preserve">In 2000, </w:t>
      </w:r>
      <w:r w:rsidR="009859EB">
        <w:rPr>
          <w:rFonts w:eastAsiaTheme="minorEastAsia"/>
          <w:bCs/>
          <w:lang w:eastAsia="zh-CN"/>
        </w:rPr>
        <w:t>amendments to the</w:t>
      </w:r>
      <w:r w:rsidR="009859EB" w:rsidRPr="00805854">
        <w:rPr>
          <w:rFonts w:eastAsiaTheme="minorEastAsia"/>
          <w:bCs/>
          <w:lang w:eastAsia="zh-CN"/>
        </w:rPr>
        <w:t xml:space="preserve"> </w:t>
      </w:r>
      <w:r w:rsidR="00603E90" w:rsidRPr="00805854">
        <w:rPr>
          <w:rFonts w:eastAsiaTheme="minorEastAsia"/>
          <w:bCs/>
          <w:lang w:eastAsia="zh-CN"/>
        </w:rPr>
        <w:t xml:space="preserve">Copyright Act </w:t>
      </w:r>
      <w:r w:rsidR="009859EB">
        <w:rPr>
          <w:rFonts w:eastAsiaTheme="minorEastAsia"/>
          <w:bCs/>
          <w:lang w:eastAsia="zh-CN"/>
        </w:rPr>
        <w:t>partially</w:t>
      </w:r>
      <w:r w:rsidR="00C55D4E" w:rsidRPr="00805854">
        <w:rPr>
          <w:rFonts w:eastAsiaTheme="minorEastAsia"/>
          <w:bCs/>
          <w:iCs/>
          <w:lang w:eastAsia="zh-CN"/>
        </w:rPr>
        <w:t xml:space="preserve"> </w:t>
      </w:r>
      <w:r w:rsidR="009859EB" w:rsidRPr="00805854">
        <w:rPr>
          <w:rFonts w:eastAsiaTheme="minorEastAsia"/>
          <w:bCs/>
          <w:iCs/>
          <w:lang w:eastAsia="zh-CN"/>
        </w:rPr>
        <w:t>codifi</w:t>
      </w:r>
      <w:r w:rsidR="009859EB">
        <w:rPr>
          <w:rFonts w:eastAsiaTheme="minorEastAsia"/>
          <w:bCs/>
          <w:iCs/>
          <w:lang w:eastAsia="zh-CN"/>
        </w:rPr>
        <w:t>ed</w:t>
      </w:r>
      <w:r w:rsidR="009859EB" w:rsidRPr="00805854">
        <w:rPr>
          <w:rFonts w:eastAsiaTheme="minorEastAsia"/>
          <w:bCs/>
          <w:iCs/>
          <w:lang w:eastAsia="zh-CN"/>
        </w:rPr>
        <w:t xml:space="preserve"> </w:t>
      </w:r>
      <w:r w:rsidR="00C55D4E" w:rsidRPr="00805854">
        <w:rPr>
          <w:rFonts w:eastAsiaTheme="minorEastAsia"/>
          <w:bCs/>
          <w:iCs/>
          <w:lang w:eastAsia="zh-CN"/>
        </w:rPr>
        <w:t xml:space="preserve">existing common law principles, </w:t>
      </w:r>
      <w:r w:rsidR="0028286E">
        <w:rPr>
          <w:rFonts w:eastAsiaTheme="minorEastAsia"/>
          <w:bCs/>
          <w:iCs/>
          <w:lang w:eastAsia="zh-CN"/>
        </w:rPr>
        <w:t xml:space="preserve">particularly </w:t>
      </w:r>
      <w:r w:rsidR="00C55D4E" w:rsidRPr="00805854">
        <w:rPr>
          <w:rFonts w:eastAsiaTheme="minorEastAsia"/>
          <w:bCs/>
          <w:iCs/>
          <w:lang w:eastAsia="zh-CN"/>
        </w:rPr>
        <w:t xml:space="preserve">as enunciated in </w:t>
      </w:r>
      <w:r w:rsidR="00C55D4E" w:rsidRPr="00805854">
        <w:rPr>
          <w:rFonts w:eastAsiaTheme="minorEastAsia"/>
          <w:bCs/>
          <w:i/>
          <w:lang w:eastAsia="zh-CN"/>
        </w:rPr>
        <w:t>Moorhouse</w:t>
      </w:r>
      <w:r w:rsidR="00C55D4E" w:rsidRPr="00805854">
        <w:rPr>
          <w:rFonts w:eastAsiaTheme="minorEastAsia"/>
          <w:bCs/>
          <w:iCs/>
          <w:lang w:eastAsia="zh-CN"/>
        </w:rPr>
        <w:t>.</w:t>
      </w:r>
      <w:r w:rsidR="00B54BB3">
        <w:rPr>
          <w:rStyle w:val="FootnoteReference"/>
          <w:rFonts w:eastAsiaTheme="minorEastAsia"/>
          <w:bCs/>
          <w:iCs/>
          <w:lang w:eastAsia="zh-CN"/>
        </w:rPr>
        <w:footnoteReference w:id="23"/>
      </w:r>
      <w:r w:rsidR="0036373B" w:rsidRPr="00805854">
        <w:rPr>
          <w:rFonts w:eastAsiaTheme="minorEastAsia"/>
          <w:bCs/>
          <w:iCs/>
          <w:lang w:eastAsia="zh-CN"/>
        </w:rPr>
        <w:t xml:space="preserve"> </w:t>
      </w:r>
      <w:r w:rsidR="0036373B" w:rsidRPr="00805854">
        <w:rPr>
          <w:rFonts w:eastAsiaTheme="minorEastAsia"/>
          <w:bCs/>
          <w:lang w:eastAsia="zh-CN"/>
        </w:rPr>
        <w:t xml:space="preserve">Parliament’s intention was </w:t>
      </w:r>
      <w:r w:rsidR="006E1FBA" w:rsidRPr="00805854">
        <w:rPr>
          <w:rFonts w:eastAsiaTheme="minorEastAsia"/>
          <w:bCs/>
          <w:lang w:eastAsia="zh-CN"/>
        </w:rPr>
        <w:t>‘to provide a degree of legislative certainty</w:t>
      </w:r>
      <w:r w:rsidR="00AB119B" w:rsidRPr="00805854">
        <w:rPr>
          <w:rFonts w:eastAsiaTheme="minorEastAsia"/>
          <w:bCs/>
          <w:lang w:eastAsia="zh-CN"/>
        </w:rPr>
        <w:t xml:space="preserve"> </w:t>
      </w:r>
      <w:r w:rsidR="006E1FBA" w:rsidRPr="00805854">
        <w:rPr>
          <w:rFonts w:eastAsiaTheme="minorEastAsia"/>
          <w:bCs/>
          <w:lang w:eastAsia="zh-CN"/>
        </w:rPr>
        <w:t>about liability for authorising infringements’.</w:t>
      </w:r>
      <w:r w:rsidR="00B54BB3">
        <w:rPr>
          <w:rStyle w:val="FootnoteReference"/>
          <w:rFonts w:eastAsiaTheme="minorEastAsia"/>
          <w:bCs/>
          <w:iCs/>
          <w:lang w:eastAsia="zh-CN"/>
        </w:rPr>
        <w:footnoteReference w:id="24"/>
      </w:r>
      <w:r w:rsidR="006E1FBA" w:rsidRPr="00805854">
        <w:rPr>
          <w:rFonts w:eastAsiaTheme="minorEastAsia"/>
          <w:bCs/>
          <w:lang w:eastAsia="zh-CN"/>
        </w:rPr>
        <w:t xml:space="preserve"> </w:t>
      </w:r>
      <w:r w:rsidR="001A6BB9" w:rsidRPr="00805854">
        <w:rPr>
          <w:rFonts w:eastAsiaTheme="minorEastAsia"/>
          <w:bCs/>
          <w:lang w:eastAsia="zh-CN"/>
        </w:rPr>
        <w:t>As a result, t</w:t>
      </w:r>
      <w:r w:rsidR="0036373B" w:rsidRPr="00805854">
        <w:rPr>
          <w:rFonts w:eastAsiaTheme="minorEastAsia"/>
          <w:bCs/>
          <w:lang w:eastAsia="zh-CN"/>
        </w:rPr>
        <w:t>he Act</w:t>
      </w:r>
      <w:r w:rsidR="006E1FBA" w:rsidRPr="00805854">
        <w:rPr>
          <w:rFonts w:eastAsiaTheme="minorEastAsia"/>
          <w:bCs/>
          <w:lang w:eastAsia="zh-CN"/>
        </w:rPr>
        <w:t xml:space="preserve"> now specifies three factors which </w:t>
      </w:r>
      <w:r w:rsidR="002607DA">
        <w:rPr>
          <w:rFonts w:eastAsiaTheme="minorEastAsia"/>
          <w:bCs/>
          <w:lang w:eastAsia="zh-CN"/>
        </w:rPr>
        <w:t xml:space="preserve">the </w:t>
      </w:r>
      <w:r w:rsidR="006E1FBA" w:rsidRPr="00805854">
        <w:rPr>
          <w:rFonts w:eastAsiaTheme="minorEastAsia"/>
          <w:bCs/>
          <w:lang w:eastAsia="zh-CN"/>
        </w:rPr>
        <w:t xml:space="preserve">court must take into account in determining whether a defendant has </w:t>
      </w:r>
      <w:r w:rsidR="002607DA" w:rsidRPr="00805854">
        <w:rPr>
          <w:rFonts w:eastAsiaTheme="minorEastAsia"/>
          <w:bCs/>
          <w:lang w:eastAsia="zh-CN"/>
        </w:rPr>
        <w:t>authori</w:t>
      </w:r>
      <w:r w:rsidR="002607DA">
        <w:rPr>
          <w:rFonts w:eastAsiaTheme="minorEastAsia"/>
          <w:bCs/>
          <w:lang w:eastAsia="zh-CN"/>
        </w:rPr>
        <w:t>s</w:t>
      </w:r>
      <w:r w:rsidR="002607DA" w:rsidRPr="00805854">
        <w:rPr>
          <w:rFonts w:eastAsiaTheme="minorEastAsia"/>
          <w:bCs/>
          <w:lang w:eastAsia="zh-CN"/>
        </w:rPr>
        <w:t xml:space="preserve">ed </w:t>
      </w:r>
      <w:r w:rsidR="006E1FBA" w:rsidRPr="00805854">
        <w:rPr>
          <w:rFonts w:eastAsiaTheme="minorEastAsia"/>
          <w:bCs/>
          <w:lang w:eastAsia="zh-CN"/>
        </w:rPr>
        <w:t>infringement</w:t>
      </w:r>
      <w:r w:rsidR="00F37F1A" w:rsidRPr="00805854">
        <w:rPr>
          <w:rFonts w:eastAsiaTheme="minorEastAsia"/>
          <w:bCs/>
          <w:lang w:eastAsia="zh-CN"/>
        </w:rPr>
        <w:t>, derived largely from the opinion of Gibbs J</w:t>
      </w:r>
      <w:r w:rsidR="006E1FBA" w:rsidRPr="00805854">
        <w:rPr>
          <w:rFonts w:eastAsiaTheme="minorEastAsia"/>
          <w:bCs/>
          <w:lang w:eastAsia="zh-CN"/>
        </w:rPr>
        <w:t>:</w:t>
      </w:r>
      <w:r w:rsidR="00E72D8D">
        <w:rPr>
          <w:rStyle w:val="FootnoteReference"/>
          <w:rFonts w:eastAsiaTheme="minorEastAsia"/>
          <w:bCs/>
          <w:lang w:eastAsia="zh-CN"/>
        </w:rPr>
        <w:footnoteReference w:id="25"/>
      </w:r>
      <w:r w:rsidR="00675C9B" w:rsidRPr="00805854">
        <w:rPr>
          <w:rFonts w:eastAsiaTheme="minorEastAsia"/>
          <w:bCs/>
          <w:lang w:eastAsia="zh-CN"/>
        </w:rPr>
        <w:t xml:space="preserve"> </w:t>
      </w:r>
      <w:r w:rsidR="006E1FBA" w:rsidRPr="00805854">
        <w:rPr>
          <w:rFonts w:eastAsiaTheme="minorEastAsia"/>
          <w:bCs/>
          <w:lang w:eastAsia="zh-CN"/>
        </w:rPr>
        <w:t xml:space="preserve"> </w:t>
      </w:r>
    </w:p>
    <w:p w14:paraId="5C0EF927" w14:textId="77777777" w:rsidR="006E1FBA" w:rsidRPr="00805854" w:rsidRDefault="006E1FBA" w:rsidP="00D4413D">
      <w:pPr>
        <w:numPr>
          <w:ilvl w:val="0"/>
          <w:numId w:val="8"/>
        </w:numPr>
        <w:ind w:left="567" w:hanging="567"/>
        <w:jc w:val="both"/>
        <w:rPr>
          <w:rFonts w:eastAsiaTheme="minorEastAsia"/>
          <w:bCs/>
          <w:lang w:eastAsia="zh-CN"/>
        </w:rPr>
      </w:pPr>
      <w:r w:rsidRPr="00805854">
        <w:rPr>
          <w:rFonts w:eastAsiaTheme="minorEastAsia"/>
          <w:bCs/>
          <w:lang w:eastAsia="zh-CN"/>
        </w:rPr>
        <w:t>the extent (if any) of the person’s power to prevent the doing of the act concerned;</w:t>
      </w:r>
    </w:p>
    <w:p w14:paraId="45793518" w14:textId="77777777" w:rsidR="006E1FBA" w:rsidRPr="00805854" w:rsidRDefault="006E1FBA" w:rsidP="00D4413D">
      <w:pPr>
        <w:numPr>
          <w:ilvl w:val="0"/>
          <w:numId w:val="8"/>
        </w:numPr>
        <w:ind w:left="567" w:hanging="567"/>
        <w:jc w:val="both"/>
        <w:rPr>
          <w:rFonts w:eastAsiaTheme="minorEastAsia"/>
          <w:bCs/>
          <w:lang w:eastAsia="zh-CN"/>
        </w:rPr>
      </w:pPr>
      <w:r w:rsidRPr="00805854">
        <w:rPr>
          <w:rFonts w:eastAsiaTheme="minorEastAsia"/>
          <w:bCs/>
          <w:lang w:eastAsia="zh-CN"/>
        </w:rPr>
        <w:t>the nature of any relationship existing between the person and the person who did the act concerned; and</w:t>
      </w:r>
    </w:p>
    <w:p w14:paraId="55F6B116" w14:textId="426C34F2" w:rsidR="006E1FBA" w:rsidRPr="00805854" w:rsidRDefault="006E1FBA" w:rsidP="00D4413D">
      <w:pPr>
        <w:numPr>
          <w:ilvl w:val="0"/>
          <w:numId w:val="8"/>
        </w:numPr>
        <w:ind w:left="567" w:hanging="567"/>
        <w:jc w:val="both"/>
        <w:rPr>
          <w:rFonts w:eastAsiaTheme="minorEastAsia"/>
          <w:bCs/>
          <w:lang w:eastAsia="zh-CN"/>
        </w:rPr>
      </w:pPr>
      <w:r w:rsidRPr="00805854">
        <w:rPr>
          <w:rFonts w:eastAsiaTheme="minorEastAsia"/>
          <w:bCs/>
          <w:lang w:eastAsia="zh-CN"/>
        </w:rPr>
        <w:t>whether the person took any other reasonable steps to prevent or avoid the doing of the act, including whether the person complied with any relevant industry codes of practice.</w:t>
      </w:r>
    </w:p>
    <w:p w14:paraId="73F46AE3" w14:textId="71B36CE2" w:rsidR="006D098F" w:rsidRPr="00805854" w:rsidRDefault="004E6DD1" w:rsidP="00D4413D">
      <w:pPr>
        <w:jc w:val="both"/>
        <w:rPr>
          <w:rFonts w:eastAsiaTheme="minorEastAsia"/>
          <w:bCs/>
          <w:lang w:eastAsia="zh-CN"/>
        </w:rPr>
      </w:pPr>
      <w:r w:rsidRPr="00805854">
        <w:rPr>
          <w:rFonts w:eastAsiaTheme="minorEastAsia"/>
          <w:bCs/>
          <w:iCs/>
          <w:lang w:eastAsia="zh-CN"/>
        </w:rPr>
        <w:t>The codification is partial only</w:t>
      </w:r>
      <w:r w:rsidR="009A2D8E" w:rsidRPr="00805854">
        <w:rPr>
          <w:rFonts w:eastAsiaTheme="minorEastAsia"/>
          <w:bCs/>
          <w:iCs/>
          <w:lang w:eastAsia="zh-CN"/>
        </w:rPr>
        <w:t xml:space="preserve">. While courts must take these factors into account, they must </w:t>
      </w:r>
      <w:r w:rsidR="001B582A" w:rsidRPr="00805854">
        <w:rPr>
          <w:rFonts w:eastAsiaTheme="minorEastAsia"/>
          <w:bCs/>
          <w:iCs/>
          <w:lang w:eastAsia="zh-CN"/>
        </w:rPr>
        <w:t xml:space="preserve">also </w:t>
      </w:r>
      <w:r w:rsidR="009A2D8E" w:rsidRPr="00805854">
        <w:rPr>
          <w:rFonts w:eastAsiaTheme="minorEastAsia"/>
          <w:bCs/>
          <w:iCs/>
          <w:lang w:eastAsia="zh-CN"/>
        </w:rPr>
        <w:t xml:space="preserve">consider all other relevant circumstances in determining liability. Since common law principles continue to apply, </w:t>
      </w:r>
      <w:r w:rsidR="004D6458" w:rsidRPr="00805854">
        <w:rPr>
          <w:rFonts w:eastAsiaTheme="minorEastAsia"/>
          <w:bCs/>
          <w:lang w:eastAsia="zh-CN"/>
        </w:rPr>
        <w:t>the reasoning in dozens of previous decisions</w:t>
      </w:r>
      <w:r w:rsidR="009A2D8E" w:rsidRPr="00805854">
        <w:rPr>
          <w:rFonts w:eastAsiaTheme="minorEastAsia"/>
          <w:bCs/>
          <w:iCs/>
          <w:lang w:eastAsia="zh-CN"/>
        </w:rPr>
        <w:t xml:space="preserve"> provide</w:t>
      </w:r>
      <w:r w:rsidR="002607DA">
        <w:rPr>
          <w:rFonts w:eastAsiaTheme="minorEastAsia"/>
          <w:bCs/>
          <w:iCs/>
          <w:lang w:eastAsia="zh-CN"/>
        </w:rPr>
        <w:t>s</w:t>
      </w:r>
      <w:r w:rsidRPr="00805854">
        <w:rPr>
          <w:rFonts w:eastAsiaTheme="minorEastAsia"/>
          <w:bCs/>
          <w:iCs/>
          <w:lang w:eastAsia="zh-CN"/>
        </w:rPr>
        <w:t xml:space="preserve"> context and guidance to courts </w:t>
      </w:r>
      <w:r w:rsidR="009A2D8E" w:rsidRPr="00805854">
        <w:rPr>
          <w:rFonts w:eastAsiaTheme="minorEastAsia"/>
          <w:bCs/>
          <w:iCs/>
          <w:lang w:eastAsia="zh-CN"/>
        </w:rPr>
        <w:t xml:space="preserve">and enrich judicial analyses </w:t>
      </w:r>
      <w:r w:rsidRPr="00805854">
        <w:rPr>
          <w:rFonts w:eastAsiaTheme="minorEastAsia"/>
          <w:bCs/>
          <w:iCs/>
          <w:lang w:eastAsia="zh-CN"/>
        </w:rPr>
        <w:t>of both</w:t>
      </w:r>
      <w:r w:rsidR="009A2D8E" w:rsidRPr="00805854">
        <w:rPr>
          <w:rFonts w:eastAsiaTheme="minorEastAsia"/>
          <w:bCs/>
          <w:iCs/>
          <w:lang w:eastAsia="zh-CN"/>
        </w:rPr>
        <w:t xml:space="preserve"> the statutory factors and </w:t>
      </w:r>
      <w:r w:rsidR="008D5715" w:rsidRPr="00805854">
        <w:rPr>
          <w:rFonts w:eastAsiaTheme="minorEastAsia"/>
          <w:bCs/>
          <w:iCs/>
          <w:lang w:eastAsia="zh-CN"/>
        </w:rPr>
        <w:t>other relevant considerations</w:t>
      </w:r>
      <w:r w:rsidR="00AA1776" w:rsidRPr="00805854">
        <w:rPr>
          <w:rFonts w:eastAsiaTheme="minorEastAsia"/>
          <w:bCs/>
          <w:iCs/>
          <w:lang w:eastAsia="zh-CN"/>
        </w:rPr>
        <w:t>.</w:t>
      </w:r>
      <w:r w:rsidRPr="00805854">
        <w:rPr>
          <w:rFonts w:eastAsiaTheme="minorEastAsia"/>
          <w:bCs/>
          <w:iCs/>
          <w:lang w:eastAsia="zh-CN"/>
        </w:rPr>
        <w:t xml:space="preserve"> </w:t>
      </w:r>
    </w:p>
    <w:p w14:paraId="02B574C3" w14:textId="77777777" w:rsidR="009D04B6" w:rsidRPr="00805854" w:rsidRDefault="009D04B6" w:rsidP="00D4413D">
      <w:pPr>
        <w:pStyle w:val="Heading3"/>
        <w:spacing w:after="240"/>
        <w:jc w:val="both"/>
        <w:rPr>
          <w:lang w:eastAsia="zh-CN"/>
        </w:rPr>
      </w:pPr>
      <w:bookmarkStart w:id="5" w:name="_Toc397245892"/>
      <w:r w:rsidRPr="00805854">
        <w:rPr>
          <w:lang w:eastAsia="zh-CN"/>
        </w:rPr>
        <w:t>The importance of flexibility</w:t>
      </w:r>
      <w:bookmarkEnd w:id="5"/>
    </w:p>
    <w:p w14:paraId="064D1EB5" w14:textId="24B4EE8D" w:rsidR="00D72791" w:rsidRPr="00805854" w:rsidRDefault="008D1195" w:rsidP="00D4413D">
      <w:pPr>
        <w:jc w:val="both"/>
        <w:rPr>
          <w:rFonts w:eastAsiaTheme="minorEastAsia"/>
          <w:bCs/>
          <w:lang w:eastAsia="zh-CN"/>
        </w:rPr>
      </w:pPr>
      <w:r w:rsidRPr="00805854">
        <w:rPr>
          <w:rFonts w:eastAsiaTheme="minorEastAsia"/>
          <w:bCs/>
          <w:lang w:eastAsia="zh-CN"/>
        </w:rPr>
        <w:t>Australian c</w:t>
      </w:r>
      <w:r w:rsidR="005C6221" w:rsidRPr="00805854">
        <w:rPr>
          <w:rFonts w:eastAsiaTheme="minorEastAsia"/>
          <w:bCs/>
          <w:lang w:eastAsia="zh-CN"/>
        </w:rPr>
        <w:t xml:space="preserve">ourts </w:t>
      </w:r>
      <w:r w:rsidR="00EE55F8" w:rsidRPr="00805854">
        <w:rPr>
          <w:rFonts w:eastAsiaTheme="minorEastAsia"/>
          <w:bCs/>
          <w:lang w:eastAsia="zh-CN"/>
        </w:rPr>
        <w:t xml:space="preserve">have </w:t>
      </w:r>
      <w:r w:rsidR="003E2116">
        <w:rPr>
          <w:rFonts w:eastAsiaTheme="minorEastAsia"/>
          <w:bCs/>
          <w:lang w:eastAsia="zh-CN"/>
        </w:rPr>
        <w:t xml:space="preserve">repeatedly </w:t>
      </w:r>
      <w:r w:rsidR="00EE55F8" w:rsidRPr="00805854">
        <w:rPr>
          <w:rFonts w:eastAsiaTheme="minorEastAsia"/>
          <w:bCs/>
          <w:lang w:eastAsia="zh-CN"/>
        </w:rPr>
        <w:t xml:space="preserve">emphasised the importance of </w:t>
      </w:r>
      <w:r w:rsidR="005242D5" w:rsidRPr="00805854">
        <w:rPr>
          <w:rFonts w:eastAsiaTheme="minorEastAsia"/>
          <w:bCs/>
          <w:lang w:eastAsia="zh-CN"/>
        </w:rPr>
        <w:t>determining liability</w:t>
      </w:r>
      <w:r w:rsidR="00203569" w:rsidRPr="00805854">
        <w:rPr>
          <w:rFonts w:eastAsiaTheme="minorEastAsia"/>
          <w:bCs/>
          <w:lang w:eastAsia="zh-CN"/>
        </w:rPr>
        <w:t xml:space="preserve"> for authorisation</w:t>
      </w:r>
      <w:r w:rsidR="00EE55F8" w:rsidRPr="00805854">
        <w:rPr>
          <w:rFonts w:eastAsiaTheme="minorEastAsia"/>
          <w:bCs/>
          <w:lang w:eastAsia="zh-CN"/>
        </w:rPr>
        <w:t xml:space="preserve"> on </w:t>
      </w:r>
      <w:r w:rsidR="00991FE1" w:rsidRPr="00805854">
        <w:rPr>
          <w:rFonts w:eastAsiaTheme="minorEastAsia"/>
          <w:bCs/>
          <w:lang w:eastAsia="zh-CN"/>
        </w:rPr>
        <w:t>‘all the facts of the case’.</w:t>
      </w:r>
      <w:r w:rsidR="00991FE1" w:rsidRPr="00805854">
        <w:rPr>
          <w:rStyle w:val="FootnoteReference"/>
          <w:rFonts w:eastAsiaTheme="minorEastAsia"/>
          <w:bCs/>
          <w:lang w:eastAsia="zh-CN"/>
        </w:rPr>
        <w:footnoteReference w:id="26"/>
      </w:r>
      <w:r w:rsidR="00991FE1" w:rsidRPr="00805854">
        <w:rPr>
          <w:rFonts w:eastAsiaTheme="minorEastAsia"/>
          <w:bCs/>
          <w:lang w:eastAsia="zh-CN"/>
        </w:rPr>
        <w:t xml:space="preserve"> </w:t>
      </w:r>
      <w:r w:rsidR="00EE55F8" w:rsidRPr="00805854">
        <w:rPr>
          <w:rFonts w:eastAsiaTheme="minorEastAsia"/>
          <w:bCs/>
          <w:lang w:eastAsia="zh-CN"/>
        </w:rPr>
        <w:t xml:space="preserve">In </w:t>
      </w:r>
      <w:r w:rsidR="00203569" w:rsidRPr="00805854">
        <w:rPr>
          <w:rFonts w:eastAsiaTheme="minorEastAsia"/>
          <w:bCs/>
          <w:lang w:eastAsia="zh-CN"/>
        </w:rPr>
        <w:t xml:space="preserve">1946, </w:t>
      </w:r>
      <w:r w:rsidR="00EE55F8" w:rsidRPr="00805854">
        <w:rPr>
          <w:rFonts w:eastAsiaTheme="minorEastAsia"/>
          <w:bCs/>
          <w:lang w:eastAsia="zh-CN"/>
        </w:rPr>
        <w:t>Herring CJ warned that</w:t>
      </w:r>
      <w:r w:rsidR="00D72791" w:rsidRPr="00805854">
        <w:rPr>
          <w:rFonts w:eastAsiaTheme="minorEastAsia"/>
          <w:bCs/>
          <w:lang w:eastAsia="zh-CN"/>
        </w:rPr>
        <w:t>:</w:t>
      </w:r>
    </w:p>
    <w:p w14:paraId="579FAC45" w14:textId="5CD29FC5" w:rsidR="00D72791" w:rsidRPr="00805854" w:rsidRDefault="006309FF" w:rsidP="00D4413D">
      <w:pPr>
        <w:ind w:left="720"/>
        <w:jc w:val="both"/>
        <w:rPr>
          <w:rFonts w:eastAsiaTheme="minorEastAsia"/>
          <w:bCs/>
          <w:lang w:eastAsia="zh-CN"/>
        </w:rPr>
      </w:pPr>
      <w:r>
        <w:rPr>
          <w:rFonts w:eastAsiaTheme="minorEastAsia"/>
          <w:bCs/>
          <w:lang w:eastAsia="zh-CN"/>
        </w:rPr>
        <w:t>[A]</w:t>
      </w:r>
      <w:r w:rsidRPr="00805854">
        <w:rPr>
          <w:rFonts w:eastAsiaTheme="minorEastAsia"/>
          <w:bCs/>
          <w:lang w:eastAsia="zh-CN"/>
        </w:rPr>
        <w:t xml:space="preserve">ny </w:t>
      </w:r>
      <w:r w:rsidR="00EE55F8" w:rsidRPr="00805854">
        <w:rPr>
          <w:rFonts w:eastAsiaTheme="minorEastAsia"/>
          <w:bCs/>
          <w:lang w:eastAsia="zh-CN"/>
        </w:rPr>
        <w:t>attempt to prescribe beforehand ready-made tests for determining on which side of the line a particular case will fall, would seem doomed to failure.</w:t>
      </w:r>
      <w:r w:rsidR="002177E9">
        <w:rPr>
          <w:rFonts w:eastAsiaTheme="minorEastAsia"/>
          <w:bCs/>
          <w:lang w:eastAsia="zh-CN"/>
        </w:rPr>
        <w:t xml:space="preserve"> …</w:t>
      </w:r>
      <w:r w:rsidR="00EE55F8" w:rsidRPr="00805854">
        <w:rPr>
          <w:rFonts w:eastAsiaTheme="minorEastAsia"/>
          <w:bCs/>
          <w:lang w:eastAsia="zh-CN"/>
        </w:rPr>
        <w:t xml:space="preserve"> In the end the matter must in each case depend on a careful examination of all the relevant facts.</w:t>
      </w:r>
      <w:r w:rsidR="00E72D8D">
        <w:rPr>
          <w:rStyle w:val="FootnoteReference"/>
          <w:rFonts w:eastAsiaTheme="minorEastAsia"/>
          <w:bCs/>
          <w:lang w:eastAsia="zh-CN"/>
        </w:rPr>
        <w:footnoteReference w:id="27"/>
      </w:r>
    </w:p>
    <w:p w14:paraId="23A0AB79" w14:textId="4BD03E17" w:rsidR="00EE55F8" w:rsidRPr="00805854" w:rsidRDefault="004D590B" w:rsidP="00D4413D">
      <w:pPr>
        <w:jc w:val="both"/>
        <w:rPr>
          <w:rFonts w:eastAsiaTheme="minorEastAsia"/>
          <w:bCs/>
          <w:lang w:eastAsia="zh-CN"/>
        </w:rPr>
      </w:pPr>
      <w:r w:rsidRPr="00805854">
        <w:rPr>
          <w:rFonts w:eastAsiaTheme="minorEastAsia"/>
          <w:bCs/>
          <w:lang w:eastAsia="zh-CN"/>
        </w:rPr>
        <w:t>The</w:t>
      </w:r>
      <w:r w:rsidR="002D211E" w:rsidRPr="00805854">
        <w:rPr>
          <w:rFonts w:eastAsiaTheme="minorEastAsia"/>
          <w:bCs/>
          <w:lang w:eastAsia="zh-CN"/>
        </w:rPr>
        <w:t xml:space="preserve"> partial codification </w:t>
      </w:r>
      <w:r w:rsidR="00AA1776" w:rsidRPr="00805854">
        <w:rPr>
          <w:rFonts w:eastAsiaTheme="minorEastAsia"/>
          <w:bCs/>
          <w:lang w:eastAsia="zh-CN"/>
        </w:rPr>
        <w:t xml:space="preserve">in 2000 </w:t>
      </w:r>
      <w:r w:rsidR="002D211E" w:rsidRPr="00805854">
        <w:rPr>
          <w:rFonts w:eastAsiaTheme="minorEastAsia"/>
          <w:bCs/>
          <w:lang w:eastAsia="zh-CN"/>
        </w:rPr>
        <w:t xml:space="preserve">did </w:t>
      </w:r>
      <w:r w:rsidR="008D1195" w:rsidRPr="00805854">
        <w:rPr>
          <w:rFonts w:eastAsiaTheme="minorEastAsia"/>
          <w:bCs/>
          <w:lang w:eastAsia="zh-CN"/>
        </w:rPr>
        <w:t>not</w:t>
      </w:r>
      <w:r w:rsidR="002D211E" w:rsidRPr="00805854">
        <w:rPr>
          <w:rFonts w:eastAsiaTheme="minorEastAsia"/>
          <w:bCs/>
          <w:lang w:eastAsia="zh-CN"/>
        </w:rPr>
        <w:t xml:space="preserve"> limit</w:t>
      </w:r>
      <w:r w:rsidR="00F10897" w:rsidRPr="00805854">
        <w:rPr>
          <w:rFonts w:eastAsiaTheme="minorEastAsia"/>
          <w:bCs/>
          <w:lang w:eastAsia="zh-CN"/>
        </w:rPr>
        <w:t xml:space="preserve"> the</w:t>
      </w:r>
      <w:r w:rsidR="002D211E" w:rsidRPr="00805854">
        <w:rPr>
          <w:rFonts w:eastAsiaTheme="minorEastAsia"/>
          <w:bCs/>
          <w:lang w:eastAsia="zh-CN"/>
        </w:rPr>
        <w:t xml:space="preserve"> judicial flexibility</w:t>
      </w:r>
      <w:r w:rsidR="00F10897" w:rsidRPr="00805854">
        <w:rPr>
          <w:rFonts w:eastAsiaTheme="minorEastAsia"/>
          <w:bCs/>
          <w:lang w:eastAsia="zh-CN"/>
        </w:rPr>
        <w:t xml:space="preserve"> necessary to the doctrine</w:t>
      </w:r>
      <w:r w:rsidR="002D211E" w:rsidRPr="00805854">
        <w:rPr>
          <w:rFonts w:eastAsiaTheme="minorEastAsia"/>
          <w:bCs/>
          <w:lang w:eastAsia="zh-CN"/>
        </w:rPr>
        <w:t xml:space="preserve">. </w:t>
      </w:r>
      <w:r w:rsidR="00065316" w:rsidRPr="00805854">
        <w:rPr>
          <w:rFonts w:eastAsiaTheme="minorEastAsia"/>
          <w:bCs/>
          <w:lang w:eastAsia="zh-CN"/>
        </w:rPr>
        <w:t>I</w:t>
      </w:r>
      <w:r w:rsidR="0028286E">
        <w:rPr>
          <w:rFonts w:eastAsiaTheme="minorEastAsia"/>
          <w:bCs/>
          <w:lang w:eastAsia="zh-CN"/>
        </w:rPr>
        <w:t xml:space="preserve">f anything, </w:t>
      </w:r>
      <w:r w:rsidR="008D1195" w:rsidRPr="00805854">
        <w:rPr>
          <w:rFonts w:eastAsiaTheme="minorEastAsia"/>
          <w:bCs/>
          <w:lang w:eastAsia="zh-CN"/>
        </w:rPr>
        <w:t>i</w:t>
      </w:r>
      <w:r w:rsidR="00D844DA" w:rsidRPr="00805854">
        <w:rPr>
          <w:rFonts w:eastAsiaTheme="minorEastAsia"/>
          <w:bCs/>
          <w:lang w:eastAsia="zh-CN"/>
        </w:rPr>
        <w:t xml:space="preserve">t </w:t>
      </w:r>
      <w:r w:rsidR="00065316" w:rsidRPr="00805854">
        <w:rPr>
          <w:rFonts w:eastAsiaTheme="minorEastAsia"/>
          <w:bCs/>
          <w:lang w:eastAsia="zh-CN"/>
        </w:rPr>
        <w:t>increased it</w:t>
      </w:r>
      <w:r w:rsidR="0028286E">
        <w:rPr>
          <w:rFonts w:eastAsiaTheme="minorEastAsia"/>
          <w:bCs/>
          <w:lang w:eastAsia="zh-CN"/>
        </w:rPr>
        <w:t>. B</w:t>
      </w:r>
      <w:r w:rsidR="00065316" w:rsidRPr="00805854">
        <w:rPr>
          <w:rFonts w:eastAsiaTheme="minorEastAsia"/>
          <w:bCs/>
          <w:lang w:eastAsia="zh-CN"/>
        </w:rPr>
        <w:t>y adding the words ‘(if any)’</w:t>
      </w:r>
      <w:r w:rsidR="00FA463E">
        <w:rPr>
          <w:rFonts w:eastAsiaTheme="minorEastAsia"/>
          <w:bCs/>
          <w:lang w:eastAsia="zh-CN"/>
        </w:rPr>
        <w:t xml:space="preserve"> to the first statutory factor</w:t>
      </w:r>
      <w:r w:rsidR="00065316" w:rsidRPr="00805854">
        <w:rPr>
          <w:rFonts w:eastAsiaTheme="minorEastAsia"/>
          <w:bCs/>
          <w:lang w:eastAsia="zh-CN"/>
        </w:rPr>
        <w:t>,</w:t>
      </w:r>
      <w:r w:rsidR="00286E4D" w:rsidRPr="00805854">
        <w:rPr>
          <w:rFonts w:eastAsiaTheme="minorEastAsia"/>
          <w:bCs/>
          <w:lang w:eastAsia="zh-CN"/>
        </w:rPr>
        <w:t xml:space="preserve"> Parliament </w:t>
      </w:r>
      <w:r w:rsidR="0028286E">
        <w:rPr>
          <w:rFonts w:eastAsiaTheme="minorEastAsia"/>
          <w:bCs/>
          <w:lang w:eastAsia="zh-CN"/>
        </w:rPr>
        <w:t>confirmed that</w:t>
      </w:r>
      <w:r w:rsidR="00F107B7" w:rsidRPr="00805854">
        <w:rPr>
          <w:rFonts w:eastAsiaTheme="minorEastAsia"/>
          <w:bCs/>
          <w:lang w:eastAsia="zh-CN"/>
        </w:rPr>
        <w:t xml:space="preserve"> liability</w:t>
      </w:r>
      <w:r w:rsidR="0028286E">
        <w:rPr>
          <w:rFonts w:eastAsiaTheme="minorEastAsia"/>
          <w:bCs/>
          <w:lang w:eastAsia="zh-CN"/>
        </w:rPr>
        <w:t xml:space="preserve"> can accrue</w:t>
      </w:r>
      <w:r w:rsidR="00F107B7" w:rsidRPr="00805854">
        <w:rPr>
          <w:rFonts w:eastAsiaTheme="minorEastAsia"/>
          <w:bCs/>
          <w:lang w:eastAsia="zh-CN"/>
        </w:rPr>
        <w:t xml:space="preserve"> even in the absence of any power to prevent the infringement where the whole of the circumstances nonetheless pointed to authorisation.</w:t>
      </w:r>
      <w:r w:rsidR="00D844DA" w:rsidRPr="00805854">
        <w:rPr>
          <w:rStyle w:val="FootnoteReference"/>
          <w:rFonts w:eastAsiaTheme="minorEastAsia"/>
          <w:bCs/>
          <w:lang w:eastAsia="zh-CN"/>
        </w:rPr>
        <w:footnoteReference w:id="28"/>
      </w:r>
    </w:p>
    <w:p w14:paraId="65DF1865" w14:textId="04956C37" w:rsidR="00A948D4" w:rsidRPr="00805854" w:rsidRDefault="009859EB" w:rsidP="00D4413D">
      <w:pPr>
        <w:jc w:val="both"/>
        <w:rPr>
          <w:rFonts w:eastAsiaTheme="minorEastAsia"/>
          <w:bCs/>
          <w:lang w:eastAsia="zh-CN"/>
        </w:rPr>
      </w:pPr>
      <w:r>
        <w:rPr>
          <w:rFonts w:eastAsiaTheme="minorEastAsia"/>
          <w:bCs/>
          <w:lang w:eastAsia="zh-CN"/>
        </w:rPr>
        <w:t>It is necessary to consider</w:t>
      </w:r>
      <w:r w:rsidR="006F1629">
        <w:rPr>
          <w:rFonts w:eastAsiaTheme="minorEastAsia"/>
          <w:bCs/>
          <w:lang w:eastAsia="zh-CN"/>
        </w:rPr>
        <w:t xml:space="preserve"> all the facts of each case because </w:t>
      </w:r>
      <w:r w:rsidR="008D1195" w:rsidRPr="00805854">
        <w:rPr>
          <w:rFonts w:eastAsiaTheme="minorEastAsia"/>
          <w:bCs/>
          <w:lang w:eastAsia="zh-CN"/>
        </w:rPr>
        <w:t>authorisation is</w:t>
      </w:r>
      <w:r w:rsidR="00810B5C" w:rsidRPr="00805854">
        <w:rPr>
          <w:rFonts w:eastAsiaTheme="minorEastAsia"/>
          <w:bCs/>
          <w:lang w:eastAsia="zh-CN"/>
        </w:rPr>
        <w:t xml:space="preserve"> holistic</w:t>
      </w:r>
      <w:r w:rsidR="008D1195" w:rsidRPr="00805854">
        <w:rPr>
          <w:rFonts w:eastAsiaTheme="minorEastAsia"/>
          <w:bCs/>
          <w:lang w:eastAsia="zh-CN"/>
        </w:rPr>
        <w:t xml:space="preserve"> in</w:t>
      </w:r>
      <w:r w:rsidR="00810B5C" w:rsidRPr="00805854">
        <w:rPr>
          <w:rFonts w:eastAsiaTheme="minorEastAsia"/>
          <w:bCs/>
          <w:lang w:eastAsia="zh-CN"/>
        </w:rPr>
        <w:t xml:space="preserve"> nature</w:t>
      </w:r>
      <w:r w:rsidR="008D1195" w:rsidRPr="00805854">
        <w:rPr>
          <w:rFonts w:eastAsiaTheme="minorEastAsia"/>
          <w:bCs/>
          <w:lang w:eastAsia="zh-CN"/>
        </w:rPr>
        <w:t>: each relevant circumst</w:t>
      </w:r>
      <w:r w:rsidR="006F1629">
        <w:rPr>
          <w:rFonts w:eastAsiaTheme="minorEastAsia"/>
          <w:bCs/>
          <w:lang w:eastAsia="zh-CN"/>
        </w:rPr>
        <w:t xml:space="preserve">ance must be weighed against </w:t>
      </w:r>
      <w:r>
        <w:rPr>
          <w:rFonts w:eastAsiaTheme="minorEastAsia"/>
          <w:bCs/>
          <w:lang w:eastAsia="zh-CN"/>
        </w:rPr>
        <w:t xml:space="preserve">all the </w:t>
      </w:r>
      <w:r w:rsidR="006F1629">
        <w:rPr>
          <w:rFonts w:eastAsiaTheme="minorEastAsia"/>
          <w:bCs/>
          <w:lang w:eastAsia="zh-CN"/>
        </w:rPr>
        <w:t>other</w:t>
      </w:r>
      <w:r>
        <w:rPr>
          <w:rFonts w:eastAsiaTheme="minorEastAsia"/>
          <w:bCs/>
          <w:lang w:eastAsia="zh-CN"/>
        </w:rPr>
        <w:t>s</w:t>
      </w:r>
      <w:r w:rsidR="008D1195" w:rsidRPr="00805854">
        <w:rPr>
          <w:rFonts w:eastAsiaTheme="minorEastAsia"/>
          <w:bCs/>
          <w:lang w:eastAsia="zh-CN"/>
        </w:rPr>
        <w:t xml:space="preserve"> to determine whether the liability threshold is reached. </w:t>
      </w:r>
      <w:r w:rsidR="008D1195" w:rsidRPr="00805854">
        <w:rPr>
          <w:rFonts w:eastAsiaTheme="minorEastAsia"/>
          <w:bCs/>
          <w:lang w:eastAsia="zh-CN"/>
        </w:rPr>
        <w:lastRenderedPageBreak/>
        <w:t xml:space="preserve">That interrelationship between the relevant factors means that a circumstance which is indicative of liability in one scenario might be irrelevant in another, and </w:t>
      </w:r>
      <w:r w:rsidR="00365CB6">
        <w:rPr>
          <w:rFonts w:eastAsiaTheme="minorEastAsia"/>
          <w:bCs/>
          <w:lang w:eastAsia="zh-CN"/>
        </w:rPr>
        <w:t xml:space="preserve">likewise, </w:t>
      </w:r>
      <w:r w:rsidR="008D1195" w:rsidRPr="00805854">
        <w:rPr>
          <w:rFonts w:eastAsiaTheme="minorEastAsia"/>
          <w:bCs/>
          <w:lang w:eastAsia="zh-CN"/>
        </w:rPr>
        <w:t xml:space="preserve">steps to </w:t>
      </w:r>
      <w:r w:rsidR="00365CB6">
        <w:rPr>
          <w:rFonts w:eastAsiaTheme="minorEastAsia"/>
          <w:bCs/>
          <w:lang w:eastAsia="zh-CN"/>
        </w:rPr>
        <w:t>prevent</w:t>
      </w:r>
      <w:r w:rsidR="00365CB6" w:rsidRPr="00805854">
        <w:rPr>
          <w:rFonts w:eastAsiaTheme="minorEastAsia"/>
          <w:bCs/>
          <w:lang w:eastAsia="zh-CN"/>
        </w:rPr>
        <w:t xml:space="preserve"> </w:t>
      </w:r>
      <w:r w:rsidR="008D1195" w:rsidRPr="00805854">
        <w:rPr>
          <w:rFonts w:eastAsiaTheme="minorEastAsia"/>
          <w:bCs/>
          <w:lang w:eastAsia="zh-CN"/>
        </w:rPr>
        <w:t>infringement that would usually be sufficient</w:t>
      </w:r>
      <w:r w:rsidR="00365CB6">
        <w:rPr>
          <w:rFonts w:eastAsiaTheme="minorEastAsia"/>
          <w:bCs/>
          <w:lang w:eastAsia="zh-CN"/>
        </w:rPr>
        <w:t xml:space="preserve"> to avoid liability in one scenario</w:t>
      </w:r>
      <w:r w:rsidR="008D1195" w:rsidRPr="00805854">
        <w:rPr>
          <w:rFonts w:eastAsiaTheme="minorEastAsia"/>
          <w:bCs/>
          <w:lang w:eastAsia="zh-CN"/>
        </w:rPr>
        <w:t xml:space="preserve"> may not be </w:t>
      </w:r>
      <w:r w:rsidR="00365CB6">
        <w:rPr>
          <w:rFonts w:eastAsiaTheme="minorEastAsia"/>
          <w:bCs/>
          <w:lang w:eastAsia="zh-CN"/>
        </w:rPr>
        <w:t>sufficient to avoid liability</w:t>
      </w:r>
      <w:r w:rsidR="00365CB6" w:rsidRPr="00805854">
        <w:rPr>
          <w:rFonts w:eastAsiaTheme="minorEastAsia"/>
          <w:bCs/>
          <w:lang w:eastAsia="zh-CN"/>
        </w:rPr>
        <w:t xml:space="preserve"> </w:t>
      </w:r>
      <w:r w:rsidR="00C33767">
        <w:rPr>
          <w:rFonts w:eastAsiaTheme="minorEastAsia"/>
          <w:bCs/>
          <w:lang w:eastAsia="zh-CN"/>
        </w:rPr>
        <w:t xml:space="preserve">in all </w:t>
      </w:r>
      <w:r w:rsidR="00343FC3">
        <w:rPr>
          <w:rFonts w:eastAsiaTheme="minorEastAsia"/>
          <w:bCs/>
          <w:lang w:eastAsia="zh-CN"/>
        </w:rPr>
        <w:t>the circumstances of another</w:t>
      </w:r>
      <w:r w:rsidR="008D1195" w:rsidRPr="00805854">
        <w:rPr>
          <w:rFonts w:eastAsiaTheme="minorEastAsia"/>
          <w:bCs/>
          <w:lang w:eastAsia="zh-CN"/>
        </w:rPr>
        <w:t>.</w:t>
      </w:r>
      <w:r w:rsidR="003920BF" w:rsidRPr="00805854">
        <w:rPr>
          <w:rFonts w:eastAsiaTheme="minorEastAsia"/>
          <w:bCs/>
          <w:lang w:eastAsia="zh-CN"/>
        </w:rPr>
        <w:t xml:space="preserve"> </w:t>
      </w:r>
      <w:r w:rsidR="008D1195" w:rsidRPr="00805854">
        <w:rPr>
          <w:rFonts w:eastAsiaTheme="minorEastAsia"/>
          <w:bCs/>
          <w:lang w:eastAsia="zh-CN"/>
        </w:rPr>
        <w:t xml:space="preserve">This can be illustrated by the cases. </w:t>
      </w:r>
      <w:r w:rsidR="007B0851" w:rsidRPr="00805854">
        <w:rPr>
          <w:rFonts w:eastAsiaTheme="minorEastAsia"/>
          <w:bCs/>
          <w:lang w:eastAsia="zh-CN"/>
        </w:rPr>
        <w:t xml:space="preserve">For example, </w:t>
      </w:r>
      <w:r w:rsidR="00A948D4" w:rsidRPr="00805854">
        <w:rPr>
          <w:rFonts w:eastAsiaTheme="minorEastAsia"/>
          <w:bCs/>
          <w:i/>
          <w:lang w:eastAsia="zh-CN"/>
        </w:rPr>
        <w:t xml:space="preserve">APRA v Metro on George </w:t>
      </w:r>
      <w:r w:rsidR="00A948D4" w:rsidRPr="00805854">
        <w:rPr>
          <w:rFonts w:eastAsiaTheme="minorEastAsia"/>
          <w:bCs/>
          <w:lang w:eastAsia="zh-CN"/>
        </w:rPr>
        <w:t xml:space="preserve">concerned the liability of a music venue owner for the unlicensed public performances </w:t>
      </w:r>
      <w:r w:rsidR="001349DB" w:rsidRPr="00805854">
        <w:rPr>
          <w:rFonts w:eastAsiaTheme="minorEastAsia"/>
          <w:bCs/>
          <w:lang w:eastAsia="zh-CN"/>
        </w:rPr>
        <w:t>that occurred there</w:t>
      </w:r>
      <w:r w:rsidR="00A948D4" w:rsidRPr="00805854">
        <w:rPr>
          <w:rFonts w:eastAsiaTheme="minorEastAsia"/>
          <w:bCs/>
          <w:lang w:eastAsia="zh-CN"/>
        </w:rPr>
        <w:t>.</w:t>
      </w:r>
      <w:r w:rsidR="001349DB" w:rsidRPr="00805854">
        <w:rPr>
          <w:rStyle w:val="FootnoteReference"/>
          <w:rFonts w:eastAsiaTheme="minorEastAsia"/>
          <w:bCs/>
          <w:lang w:eastAsia="zh-CN"/>
        </w:rPr>
        <w:footnoteReference w:id="29"/>
      </w:r>
      <w:r w:rsidR="00A948D4" w:rsidRPr="00805854">
        <w:rPr>
          <w:rFonts w:eastAsiaTheme="minorEastAsia"/>
          <w:bCs/>
          <w:lang w:eastAsia="zh-CN"/>
        </w:rPr>
        <w:t xml:space="preserve"> The defendant had no contractual right to control </w:t>
      </w:r>
      <w:r w:rsidR="001349DB" w:rsidRPr="00805854">
        <w:rPr>
          <w:rFonts w:eastAsiaTheme="minorEastAsia"/>
          <w:bCs/>
          <w:lang w:eastAsia="zh-CN"/>
        </w:rPr>
        <w:t>the music that would</w:t>
      </w:r>
      <w:r w:rsidR="00A948D4" w:rsidRPr="00805854">
        <w:rPr>
          <w:rFonts w:eastAsiaTheme="minorEastAsia"/>
          <w:bCs/>
          <w:lang w:eastAsia="zh-CN"/>
        </w:rPr>
        <w:t xml:space="preserve"> be performed</w:t>
      </w:r>
      <w:r w:rsidR="001349DB" w:rsidRPr="00805854">
        <w:rPr>
          <w:rFonts w:eastAsiaTheme="minorEastAsia"/>
          <w:bCs/>
          <w:lang w:eastAsia="zh-CN"/>
        </w:rPr>
        <w:t xml:space="preserve"> in the venue, </w:t>
      </w:r>
      <w:r w:rsidR="006A37BB" w:rsidRPr="00805854">
        <w:rPr>
          <w:rFonts w:eastAsiaTheme="minorEastAsia"/>
          <w:bCs/>
          <w:lang w:eastAsia="zh-CN"/>
        </w:rPr>
        <w:t>and</w:t>
      </w:r>
      <w:r w:rsidR="001349DB" w:rsidRPr="00805854">
        <w:rPr>
          <w:rFonts w:eastAsiaTheme="minorEastAsia"/>
          <w:bCs/>
          <w:lang w:eastAsia="zh-CN"/>
        </w:rPr>
        <w:t xml:space="preserve"> had incorporated clause</w:t>
      </w:r>
      <w:r w:rsidR="00332C96" w:rsidRPr="00805854">
        <w:rPr>
          <w:rFonts w:eastAsiaTheme="minorEastAsia"/>
          <w:bCs/>
          <w:lang w:eastAsia="zh-CN"/>
        </w:rPr>
        <w:t>s</w:t>
      </w:r>
      <w:r w:rsidR="001349DB" w:rsidRPr="00805854">
        <w:rPr>
          <w:rFonts w:eastAsiaTheme="minorEastAsia"/>
          <w:bCs/>
          <w:lang w:eastAsia="zh-CN"/>
        </w:rPr>
        <w:t xml:space="preserve"> in the contract </w:t>
      </w:r>
      <w:r w:rsidR="00332C96" w:rsidRPr="00805854">
        <w:rPr>
          <w:rFonts w:eastAsiaTheme="minorEastAsia"/>
          <w:bCs/>
          <w:lang w:eastAsia="zh-CN"/>
        </w:rPr>
        <w:t xml:space="preserve">stating it did not ‘authorise or permit’ any performance and </w:t>
      </w:r>
      <w:r w:rsidR="001349DB" w:rsidRPr="00805854">
        <w:rPr>
          <w:rFonts w:eastAsiaTheme="minorEastAsia"/>
          <w:bCs/>
          <w:lang w:eastAsia="zh-CN"/>
        </w:rPr>
        <w:t xml:space="preserve">requiring hirers to comply with the </w:t>
      </w:r>
      <w:r w:rsidR="001349DB" w:rsidRPr="00365CB6">
        <w:rPr>
          <w:rFonts w:eastAsiaTheme="minorEastAsia"/>
          <w:bCs/>
          <w:i/>
          <w:lang w:eastAsia="zh-CN"/>
        </w:rPr>
        <w:t>Copyright Act</w:t>
      </w:r>
      <w:r w:rsidR="001349DB" w:rsidRPr="00805854">
        <w:rPr>
          <w:rFonts w:eastAsiaTheme="minorEastAsia"/>
          <w:bCs/>
          <w:lang w:eastAsia="zh-CN"/>
        </w:rPr>
        <w:t xml:space="preserve"> and </w:t>
      </w:r>
      <w:r w:rsidR="00365CB6" w:rsidRPr="00805854">
        <w:rPr>
          <w:rFonts w:eastAsiaTheme="minorEastAsia"/>
          <w:bCs/>
          <w:lang w:eastAsia="zh-CN"/>
        </w:rPr>
        <w:t>licen</w:t>
      </w:r>
      <w:r w:rsidR="00365CB6">
        <w:rPr>
          <w:rFonts w:eastAsiaTheme="minorEastAsia"/>
          <w:bCs/>
          <w:lang w:eastAsia="zh-CN"/>
        </w:rPr>
        <w:t>sing</w:t>
      </w:r>
      <w:r w:rsidR="00365CB6" w:rsidRPr="00805854">
        <w:rPr>
          <w:rFonts w:eastAsiaTheme="minorEastAsia"/>
          <w:bCs/>
          <w:lang w:eastAsia="zh-CN"/>
        </w:rPr>
        <w:t xml:space="preserve"> </w:t>
      </w:r>
      <w:r w:rsidR="001349DB" w:rsidRPr="00805854">
        <w:rPr>
          <w:rFonts w:eastAsiaTheme="minorEastAsia"/>
          <w:bCs/>
          <w:lang w:eastAsia="zh-CN"/>
        </w:rPr>
        <w:t xml:space="preserve">requirements of the </w:t>
      </w:r>
      <w:r w:rsidR="00365CB6">
        <w:rPr>
          <w:rFonts w:eastAsiaTheme="minorEastAsia"/>
          <w:bCs/>
          <w:lang w:eastAsia="zh-CN"/>
        </w:rPr>
        <w:t>Australasian</w:t>
      </w:r>
      <w:r w:rsidR="00365CB6" w:rsidRPr="00805854">
        <w:rPr>
          <w:rFonts w:eastAsiaTheme="minorEastAsia"/>
          <w:bCs/>
          <w:lang w:eastAsia="zh-CN"/>
        </w:rPr>
        <w:t xml:space="preserve"> </w:t>
      </w:r>
      <w:r w:rsidR="001349DB" w:rsidRPr="00805854">
        <w:rPr>
          <w:rFonts w:eastAsiaTheme="minorEastAsia"/>
          <w:bCs/>
          <w:lang w:eastAsia="zh-CN"/>
        </w:rPr>
        <w:t>Performing Right Association.</w:t>
      </w:r>
      <w:r w:rsidR="001349DB" w:rsidRPr="00805854">
        <w:rPr>
          <w:rStyle w:val="FootnoteReference"/>
          <w:rFonts w:eastAsiaTheme="minorEastAsia"/>
          <w:bCs/>
          <w:lang w:eastAsia="zh-CN"/>
        </w:rPr>
        <w:footnoteReference w:id="30"/>
      </w:r>
      <w:r w:rsidR="001349DB" w:rsidRPr="00805854">
        <w:rPr>
          <w:rFonts w:eastAsiaTheme="minorEastAsia"/>
          <w:bCs/>
          <w:lang w:eastAsia="zh-CN"/>
        </w:rPr>
        <w:t xml:space="preserve"> </w:t>
      </w:r>
      <w:r w:rsidR="000B6E9F" w:rsidRPr="00805854">
        <w:rPr>
          <w:rFonts w:eastAsiaTheme="minorEastAsia"/>
          <w:bCs/>
          <w:lang w:eastAsia="zh-CN"/>
        </w:rPr>
        <w:t>In some cases this would no doubt be sufficient to avoid liability. On the</w:t>
      </w:r>
      <w:r w:rsidR="00FA463E">
        <w:rPr>
          <w:rFonts w:eastAsiaTheme="minorEastAsia"/>
          <w:bCs/>
          <w:lang w:eastAsia="zh-CN"/>
        </w:rPr>
        <w:t xml:space="preserve"> specific facts of the case</w:t>
      </w:r>
      <w:r w:rsidR="000B6E9F" w:rsidRPr="00805854">
        <w:rPr>
          <w:rFonts w:eastAsiaTheme="minorEastAsia"/>
          <w:bCs/>
          <w:lang w:eastAsia="zh-CN"/>
        </w:rPr>
        <w:t xml:space="preserve"> however, </w:t>
      </w:r>
      <w:r w:rsidR="006A37BB" w:rsidRPr="00805854">
        <w:rPr>
          <w:rFonts w:eastAsiaTheme="minorEastAsia"/>
          <w:bCs/>
          <w:lang w:eastAsia="zh-CN"/>
        </w:rPr>
        <w:t>t</w:t>
      </w:r>
      <w:r w:rsidR="001349DB" w:rsidRPr="00805854">
        <w:rPr>
          <w:rFonts w:eastAsiaTheme="minorEastAsia"/>
          <w:bCs/>
          <w:lang w:eastAsia="zh-CN"/>
        </w:rPr>
        <w:t xml:space="preserve">he Federal Court held that </w:t>
      </w:r>
      <w:r w:rsidR="00EA402C" w:rsidRPr="00805854">
        <w:rPr>
          <w:rFonts w:eastAsiaTheme="minorEastAsia"/>
          <w:bCs/>
          <w:lang w:eastAsia="zh-CN"/>
        </w:rPr>
        <w:t>the venue provider had authorised the infringements.</w:t>
      </w:r>
      <w:r w:rsidR="001349DB" w:rsidRPr="00805854">
        <w:rPr>
          <w:rFonts w:eastAsiaTheme="minorEastAsia"/>
          <w:bCs/>
          <w:lang w:eastAsia="zh-CN"/>
        </w:rPr>
        <w:t xml:space="preserve"> </w:t>
      </w:r>
      <w:r w:rsidR="00EA402C" w:rsidRPr="00805854">
        <w:rPr>
          <w:rFonts w:eastAsiaTheme="minorEastAsia"/>
          <w:bCs/>
          <w:lang w:eastAsia="zh-CN"/>
        </w:rPr>
        <w:t>The threshold was reached because,</w:t>
      </w:r>
      <w:r w:rsidR="0028286E">
        <w:rPr>
          <w:rFonts w:eastAsiaTheme="minorEastAsia"/>
          <w:bCs/>
          <w:lang w:eastAsia="zh-CN"/>
        </w:rPr>
        <w:t xml:space="preserve"> </w:t>
      </w:r>
      <w:r w:rsidR="00502459">
        <w:rPr>
          <w:rFonts w:eastAsiaTheme="minorEastAsia"/>
          <w:bCs/>
          <w:lang w:eastAsia="zh-CN"/>
        </w:rPr>
        <w:t>having been told</w:t>
      </w:r>
      <w:r w:rsidR="000B6E9F" w:rsidRPr="00805854">
        <w:rPr>
          <w:rFonts w:eastAsiaTheme="minorEastAsia"/>
          <w:bCs/>
          <w:lang w:eastAsia="zh-CN"/>
        </w:rPr>
        <w:t xml:space="preserve"> that unlicensed performances were in fact occurring, </w:t>
      </w:r>
      <w:r w:rsidR="008D5715" w:rsidRPr="00805854">
        <w:rPr>
          <w:rFonts w:eastAsiaTheme="minorEastAsia"/>
          <w:bCs/>
          <w:lang w:eastAsia="zh-CN"/>
        </w:rPr>
        <w:t xml:space="preserve">and </w:t>
      </w:r>
      <w:r w:rsidR="0028286E">
        <w:rPr>
          <w:rFonts w:eastAsiaTheme="minorEastAsia"/>
          <w:bCs/>
          <w:lang w:eastAsia="zh-CN"/>
        </w:rPr>
        <w:t xml:space="preserve">having </w:t>
      </w:r>
      <w:r w:rsidR="00EA402C" w:rsidRPr="00805854">
        <w:rPr>
          <w:rFonts w:eastAsiaTheme="minorEastAsia"/>
          <w:bCs/>
          <w:lang w:eastAsia="zh-CN"/>
        </w:rPr>
        <w:t xml:space="preserve">an indirect power to prevent them (by refusing to hire out the venue to unlicensed hirers or enforcing the contractual warranty against </w:t>
      </w:r>
      <w:r w:rsidR="008D5715" w:rsidRPr="00805854">
        <w:rPr>
          <w:rFonts w:eastAsiaTheme="minorEastAsia"/>
          <w:bCs/>
          <w:lang w:eastAsia="zh-CN"/>
        </w:rPr>
        <w:t>them</w:t>
      </w:r>
      <w:r w:rsidR="00EA402C" w:rsidRPr="00805854">
        <w:rPr>
          <w:rFonts w:eastAsiaTheme="minorEastAsia"/>
          <w:bCs/>
          <w:lang w:eastAsia="zh-CN"/>
        </w:rPr>
        <w:t>)</w:t>
      </w:r>
      <w:r w:rsidR="0028286E">
        <w:rPr>
          <w:rFonts w:eastAsiaTheme="minorEastAsia"/>
          <w:bCs/>
          <w:lang w:eastAsia="zh-CN"/>
        </w:rPr>
        <w:t>,</w:t>
      </w:r>
      <w:r w:rsidR="00EA402C" w:rsidRPr="00805854">
        <w:rPr>
          <w:rFonts w:eastAsiaTheme="minorEastAsia"/>
          <w:bCs/>
          <w:lang w:eastAsia="zh-CN"/>
        </w:rPr>
        <w:t xml:space="preserve"> </w:t>
      </w:r>
      <w:r w:rsidR="000B6E9F" w:rsidRPr="00805854">
        <w:rPr>
          <w:rFonts w:eastAsiaTheme="minorEastAsia"/>
          <w:bCs/>
          <w:lang w:eastAsia="zh-CN"/>
        </w:rPr>
        <w:t>it had failed</w:t>
      </w:r>
      <w:r w:rsidR="00332C96" w:rsidRPr="00805854">
        <w:rPr>
          <w:rFonts w:eastAsiaTheme="minorEastAsia"/>
          <w:bCs/>
          <w:lang w:eastAsia="zh-CN"/>
        </w:rPr>
        <w:t xml:space="preserve"> to</w:t>
      </w:r>
      <w:r w:rsidR="00FA463E">
        <w:rPr>
          <w:rFonts w:eastAsiaTheme="minorEastAsia"/>
          <w:bCs/>
          <w:lang w:eastAsia="zh-CN"/>
        </w:rPr>
        <w:t xml:space="preserve"> take the reasonable step of</w:t>
      </w:r>
      <w:r w:rsidR="00332C96" w:rsidRPr="00805854">
        <w:rPr>
          <w:rFonts w:eastAsiaTheme="minorEastAsia"/>
          <w:bCs/>
          <w:lang w:eastAsia="zh-CN"/>
        </w:rPr>
        <w:t xml:space="preserve"> ascertain</w:t>
      </w:r>
      <w:r w:rsidR="00FA463E">
        <w:rPr>
          <w:rFonts w:eastAsiaTheme="minorEastAsia"/>
          <w:bCs/>
          <w:lang w:eastAsia="zh-CN"/>
        </w:rPr>
        <w:t>ing</w:t>
      </w:r>
      <w:r w:rsidR="00332C96" w:rsidRPr="00805854">
        <w:rPr>
          <w:rFonts w:eastAsiaTheme="minorEastAsia"/>
          <w:bCs/>
          <w:lang w:eastAsia="zh-CN"/>
        </w:rPr>
        <w:t xml:space="preserve"> whether licen</w:t>
      </w:r>
      <w:r w:rsidR="00502459">
        <w:rPr>
          <w:rFonts w:eastAsiaTheme="minorEastAsia"/>
          <w:bCs/>
          <w:lang w:eastAsia="zh-CN"/>
        </w:rPr>
        <w:t>c</w:t>
      </w:r>
      <w:r w:rsidR="00332C96" w:rsidRPr="00805854">
        <w:rPr>
          <w:rFonts w:eastAsiaTheme="minorEastAsia"/>
          <w:bCs/>
          <w:lang w:eastAsia="zh-CN"/>
        </w:rPr>
        <w:t>es had in fact been obtained</w:t>
      </w:r>
      <w:r w:rsidR="00EA402C" w:rsidRPr="00805854">
        <w:rPr>
          <w:rFonts w:eastAsiaTheme="minorEastAsia"/>
          <w:bCs/>
          <w:lang w:eastAsia="zh-CN"/>
        </w:rPr>
        <w:t>.</w:t>
      </w:r>
      <w:r w:rsidR="00EA402C" w:rsidRPr="00805854">
        <w:rPr>
          <w:rStyle w:val="FootnoteReference"/>
          <w:rFonts w:eastAsiaTheme="minorEastAsia"/>
          <w:bCs/>
          <w:lang w:eastAsia="zh-CN"/>
        </w:rPr>
        <w:footnoteReference w:id="31"/>
      </w:r>
    </w:p>
    <w:p w14:paraId="3AB7D9EC" w14:textId="24730C1F" w:rsidR="006F1629" w:rsidRDefault="00440FB6" w:rsidP="00D4413D">
      <w:pPr>
        <w:jc w:val="both"/>
        <w:rPr>
          <w:rFonts w:eastAsiaTheme="minorEastAsia"/>
          <w:bCs/>
          <w:lang w:eastAsia="zh-CN"/>
        </w:rPr>
      </w:pPr>
      <w:r w:rsidRPr="00805854">
        <w:rPr>
          <w:rFonts w:eastAsiaTheme="minorEastAsia"/>
          <w:bCs/>
          <w:i/>
          <w:iCs/>
          <w:lang w:eastAsia="zh-CN"/>
        </w:rPr>
        <w:t>Universal Music Australia v</w:t>
      </w:r>
      <w:r w:rsidRPr="00805854">
        <w:rPr>
          <w:rFonts w:eastAsiaTheme="minorEastAsia"/>
          <w:bCs/>
          <w:lang w:eastAsia="zh-CN"/>
        </w:rPr>
        <w:t xml:space="preserve"> </w:t>
      </w:r>
      <w:r w:rsidR="007B0851" w:rsidRPr="00805854">
        <w:rPr>
          <w:rFonts w:eastAsiaTheme="minorEastAsia"/>
          <w:bCs/>
          <w:i/>
          <w:lang w:eastAsia="zh-CN"/>
        </w:rPr>
        <w:t xml:space="preserve">Sharman </w:t>
      </w:r>
      <w:r w:rsidRPr="00805854">
        <w:rPr>
          <w:rFonts w:eastAsiaTheme="minorEastAsia"/>
          <w:bCs/>
          <w:i/>
          <w:lang w:eastAsia="zh-CN"/>
        </w:rPr>
        <w:t>License Holdings</w:t>
      </w:r>
      <w:r w:rsidR="004F5EB3" w:rsidRPr="00805854">
        <w:rPr>
          <w:rStyle w:val="FootnoteReference"/>
          <w:rFonts w:eastAsiaTheme="minorEastAsia"/>
          <w:bCs/>
          <w:lang w:eastAsia="zh-CN"/>
        </w:rPr>
        <w:footnoteReference w:id="32"/>
      </w:r>
      <w:r w:rsidR="004F5EB3" w:rsidRPr="00805854">
        <w:rPr>
          <w:rFonts w:eastAsiaTheme="minorEastAsia"/>
          <w:bCs/>
          <w:i/>
          <w:lang w:eastAsia="zh-CN"/>
        </w:rPr>
        <w:t xml:space="preserve"> </w:t>
      </w:r>
      <w:r w:rsidR="000A0F67" w:rsidRPr="00805854">
        <w:rPr>
          <w:rFonts w:eastAsiaTheme="minorEastAsia"/>
          <w:bCs/>
          <w:lang w:eastAsia="zh-CN"/>
        </w:rPr>
        <w:t>considered whether</w:t>
      </w:r>
      <w:r w:rsidR="00794BA2" w:rsidRPr="00805854">
        <w:rPr>
          <w:rFonts w:eastAsiaTheme="minorEastAsia"/>
          <w:bCs/>
          <w:lang w:eastAsia="zh-CN"/>
        </w:rPr>
        <w:t xml:space="preserve"> the</w:t>
      </w:r>
      <w:r w:rsidR="005C6221" w:rsidRPr="00805854">
        <w:rPr>
          <w:rFonts w:eastAsiaTheme="minorEastAsia"/>
          <w:bCs/>
          <w:lang w:eastAsia="zh-CN"/>
        </w:rPr>
        <w:t xml:space="preserve"> providers of the K</w:t>
      </w:r>
      <w:r w:rsidR="004F5EB3" w:rsidRPr="00805854">
        <w:rPr>
          <w:rFonts w:eastAsiaTheme="minorEastAsia"/>
          <w:bCs/>
          <w:lang w:eastAsia="zh-CN"/>
        </w:rPr>
        <w:t xml:space="preserve">azaa </w:t>
      </w:r>
      <w:r w:rsidR="00FA463E">
        <w:rPr>
          <w:rFonts w:eastAsiaTheme="minorEastAsia"/>
          <w:bCs/>
          <w:lang w:eastAsia="zh-CN"/>
        </w:rPr>
        <w:t>peer-to-peer</w:t>
      </w:r>
      <w:r w:rsidR="004F5EB3" w:rsidRPr="00805854">
        <w:rPr>
          <w:rFonts w:eastAsiaTheme="minorEastAsia"/>
          <w:bCs/>
          <w:lang w:eastAsia="zh-CN"/>
        </w:rPr>
        <w:t xml:space="preserve"> file sharing software</w:t>
      </w:r>
      <w:r w:rsidR="00794BA2" w:rsidRPr="00805854">
        <w:rPr>
          <w:rFonts w:eastAsiaTheme="minorEastAsia"/>
          <w:bCs/>
          <w:lang w:eastAsia="zh-CN"/>
        </w:rPr>
        <w:t xml:space="preserve"> were liable for their users’ infringements</w:t>
      </w:r>
      <w:r w:rsidR="004F5EB3" w:rsidRPr="00805854">
        <w:rPr>
          <w:rFonts w:eastAsiaTheme="minorEastAsia"/>
          <w:bCs/>
          <w:lang w:eastAsia="zh-CN"/>
        </w:rPr>
        <w:t xml:space="preserve">. </w:t>
      </w:r>
      <w:r w:rsidR="001C260C" w:rsidRPr="00805854">
        <w:rPr>
          <w:rFonts w:eastAsiaTheme="minorEastAsia"/>
          <w:bCs/>
          <w:lang w:eastAsia="zh-CN"/>
        </w:rPr>
        <w:t>D</w:t>
      </w:r>
      <w:r w:rsidRPr="00805854">
        <w:rPr>
          <w:rFonts w:eastAsiaTheme="minorEastAsia"/>
          <w:bCs/>
          <w:lang w:eastAsia="zh-CN"/>
        </w:rPr>
        <w:t>efendant</w:t>
      </w:r>
      <w:r w:rsidR="001C260C" w:rsidRPr="00805854">
        <w:rPr>
          <w:rFonts w:eastAsiaTheme="minorEastAsia"/>
          <w:bCs/>
          <w:lang w:eastAsia="zh-CN"/>
        </w:rPr>
        <w:t xml:space="preserve"> Sharman Networks had actively encouraged users t</w:t>
      </w:r>
      <w:r w:rsidR="00F85327" w:rsidRPr="00805854">
        <w:rPr>
          <w:rFonts w:eastAsiaTheme="minorEastAsia"/>
          <w:bCs/>
          <w:lang w:eastAsia="zh-CN"/>
        </w:rPr>
        <w:t xml:space="preserve">o commit infringements, </w:t>
      </w:r>
      <w:r w:rsidR="00450830" w:rsidRPr="00805854">
        <w:rPr>
          <w:rFonts w:eastAsiaTheme="minorEastAsia"/>
          <w:bCs/>
          <w:lang w:eastAsia="zh-CN"/>
        </w:rPr>
        <w:t xml:space="preserve">disproportionately rewarded users who ‘shared’ infringing files, and </w:t>
      </w:r>
      <w:r w:rsidR="00FA463E">
        <w:rPr>
          <w:rFonts w:eastAsiaTheme="minorEastAsia"/>
          <w:bCs/>
          <w:lang w:eastAsia="zh-CN"/>
        </w:rPr>
        <w:t xml:space="preserve">had </w:t>
      </w:r>
      <w:r w:rsidR="00502459">
        <w:rPr>
          <w:rFonts w:eastAsiaTheme="minorEastAsia"/>
          <w:bCs/>
          <w:lang w:eastAsia="zh-CN"/>
        </w:rPr>
        <w:t xml:space="preserve">itself </w:t>
      </w:r>
      <w:r w:rsidR="00F85327" w:rsidRPr="00805854">
        <w:rPr>
          <w:rFonts w:eastAsiaTheme="minorEastAsia"/>
          <w:bCs/>
          <w:lang w:eastAsia="zh-CN"/>
        </w:rPr>
        <w:t>benefited</w:t>
      </w:r>
      <w:r w:rsidR="00FA463E">
        <w:rPr>
          <w:rFonts w:eastAsiaTheme="minorEastAsia"/>
          <w:bCs/>
          <w:lang w:eastAsia="zh-CN"/>
        </w:rPr>
        <w:t xml:space="preserve"> </w:t>
      </w:r>
      <w:r w:rsidR="00FA463E" w:rsidRPr="00805854">
        <w:rPr>
          <w:rFonts w:eastAsiaTheme="minorEastAsia"/>
          <w:bCs/>
          <w:lang w:eastAsia="zh-CN"/>
        </w:rPr>
        <w:t>financially</w:t>
      </w:r>
      <w:r w:rsidR="00F85327" w:rsidRPr="00805854">
        <w:rPr>
          <w:rFonts w:eastAsiaTheme="minorEastAsia"/>
          <w:bCs/>
          <w:lang w:eastAsia="zh-CN"/>
        </w:rPr>
        <w:t xml:space="preserve"> from those infringements</w:t>
      </w:r>
      <w:r w:rsidR="00450830" w:rsidRPr="00805854">
        <w:rPr>
          <w:rFonts w:eastAsiaTheme="minorEastAsia"/>
          <w:bCs/>
          <w:lang w:eastAsia="zh-CN"/>
        </w:rPr>
        <w:t>.</w:t>
      </w:r>
      <w:r w:rsidR="001C260C" w:rsidRPr="00805854">
        <w:rPr>
          <w:rStyle w:val="FootnoteReference"/>
          <w:rFonts w:eastAsiaTheme="minorEastAsia"/>
          <w:bCs/>
          <w:lang w:eastAsia="zh-CN"/>
        </w:rPr>
        <w:footnoteReference w:id="33"/>
      </w:r>
      <w:r w:rsidR="00C4550F" w:rsidRPr="00805854">
        <w:rPr>
          <w:rFonts w:eastAsiaTheme="minorEastAsia"/>
          <w:bCs/>
          <w:lang w:eastAsia="zh-CN"/>
        </w:rPr>
        <w:t xml:space="preserve"> Its power to prevent the infringement was </w:t>
      </w:r>
      <w:r w:rsidR="00677F0C" w:rsidRPr="00805854">
        <w:rPr>
          <w:rFonts w:eastAsiaTheme="minorEastAsia"/>
          <w:bCs/>
          <w:lang w:eastAsia="zh-CN"/>
        </w:rPr>
        <w:t>ind</w:t>
      </w:r>
      <w:r w:rsidR="00D70BE0" w:rsidRPr="00805854">
        <w:rPr>
          <w:rFonts w:eastAsiaTheme="minorEastAsia"/>
          <w:bCs/>
          <w:lang w:eastAsia="zh-CN"/>
        </w:rPr>
        <w:t xml:space="preserve">irect </w:t>
      </w:r>
      <w:r w:rsidR="00C4550F" w:rsidRPr="00805854">
        <w:rPr>
          <w:rFonts w:eastAsiaTheme="minorEastAsia"/>
          <w:bCs/>
          <w:lang w:eastAsia="zh-CN"/>
        </w:rPr>
        <w:t xml:space="preserve">– it could do so only by </w:t>
      </w:r>
      <w:r w:rsidR="00016F37" w:rsidRPr="00805854">
        <w:rPr>
          <w:rFonts w:eastAsiaTheme="minorEastAsia"/>
          <w:bCs/>
          <w:lang w:eastAsia="zh-CN"/>
        </w:rPr>
        <w:t>changing the software to restrict u</w:t>
      </w:r>
      <w:r w:rsidR="0070401B" w:rsidRPr="00805854">
        <w:rPr>
          <w:rFonts w:eastAsiaTheme="minorEastAsia"/>
          <w:bCs/>
          <w:lang w:eastAsia="zh-CN"/>
        </w:rPr>
        <w:t xml:space="preserve">ser access to copyrighted works, and </w:t>
      </w:r>
      <w:r w:rsidR="009A2D8E" w:rsidRPr="00805854">
        <w:rPr>
          <w:rFonts w:eastAsiaTheme="minorEastAsia"/>
          <w:bCs/>
          <w:lang w:eastAsia="zh-CN"/>
        </w:rPr>
        <w:t xml:space="preserve">then </w:t>
      </w:r>
      <w:r w:rsidR="0070401B" w:rsidRPr="00805854">
        <w:rPr>
          <w:rFonts w:eastAsiaTheme="minorEastAsia"/>
          <w:bCs/>
          <w:lang w:eastAsia="zh-CN"/>
        </w:rPr>
        <w:t xml:space="preserve">encouraging users to </w:t>
      </w:r>
      <w:r w:rsidR="009A2D8E" w:rsidRPr="00805854">
        <w:rPr>
          <w:rFonts w:eastAsiaTheme="minorEastAsia"/>
          <w:bCs/>
          <w:lang w:eastAsia="zh-CN"/>
        </w:rPr>
        <w:t xml:space="preserve">replace the old version with </w:t>
      </w:r>
      <w:r w:rsidR="0070401B" w:rsidRPr="00805854">
        <w:rPr>
          <w:rFonts w:eastAsiaTheme="minorEastAsia"/>
          <w:bCs/>
          <w:lang w:eastAsia="zh-CN"/>
        </w:rPr>
        <w:t>the new.</w:t>
      </w:r>
      <w:r w:rsidR="00016F37" w:rsidRPr="00805854">
        <w:rPr>
          <w:rStyle w:val="FootnoteReference"/>
          <w:rFonts w:eastAsiaTheme="minorEastAsia"/>
          <w:bCs/>
          <w:lang w:eastAsia="zh-CN"/>
        </w:rPr>
        <w:footnoteReference w:id="34"/>
      </w:r>
      <w:r w:rsidR="00016F37" w:rsidRPr="00805854">
        <w:rPr>
          <w:rFonts w:eastAsiaTheme="minorEastAsia"/>
          <w:bCs/>
          <w:lang w:eastAsia="zh-CN"/>
        </w:rPr>
        <w:t xml:space="preserve"> </w:t>
      </w:r>
      <w:r w:rsidR="00AC02D5" w:rsidRPr="00805854">
        <w:rPr>
          <w:rFonts w:eastAsiaTheme="minorEastAsia"/>
          <w:bCs/>
          <w:lang w:eastAsia="zh-CN"/>
        </w:rPr>
        <w:t>It did not take these steps however, and made only token attempts</w:t>
      </w:r>
      <w:r w:rsidR="009A2D8E" w:rsidRPr="00805854">
        <w:rPr>
          <w:rFonts w:eastAsiaTheme="minorEastAsia"/>
          <w:bCs/>
          <w:lang w:eastAsia="zh-CN"/>
        </w:rPr>
        <w:t xml:space="preserve"> to limit its users’ infringements</w:t>
      </w:r>
      <w:r w:rsidR="00E17983" w:rsidRPr="00805854">
        <w:rPr>
          <w:rFonts w:eastAsiaTheme="minorEastAsia"/>
          <w:bCs/>
          <w:lang w:eastAsia="zh-CN"/>
        </w:rPr>
        <w:t xml:space="preserve">. </w:t>
      </w:r>
      <w:r w:rsidR="004358C8" w:rsidRPr="00805854">
        <w:rPr>
          <w:rFonts w:eastAsiaTheme="minorEastAsia"/>
          <w:bCs/>
          <w:lang w:eastAsia="zh-CN"/>
        </w:rPr>
        <w:t>T</w:t>
      </w:r>
      <w:r w:rsidR="00021D16" w:rsidRPr="00805854">
        <w:rPr>
          <w:rFonts w:eastAsiaTheme="minorEastAsia"/>
          <w:bCs/>
          <w:lang w:eastAsia="zh-CN"/>
        </w:rPr>
        <w:t xml:space="preserve">he court </w:t>
      </w:r>
      <w:r w:rsidR="00223DF1" w:rsidRPr="00805854">
        <w:rPr>
          <w:rFonts w:eastAsiaTheme="minorEastAsia"/>
          <w:bCs/>
          <w:lang w:eastAsia="zh-CN"/>
        </w:rPr>
        <w:t>found</w:t>
      </w:r>
      <w:r w:rsidR="00021D16" w:rsidRPr="00805854">
        <w:rPr>
          <w:rFonts w:eastAsiaTheme="minorEastAsia"/>
          <w:bCs/>
          <w:lang w:eastAsia="zh-CN"/>
        </w:rPr>
        <w:t xml:space="preserve"> that</w:t>
      </w:r>
      <w:r w:rsidR="009A2D8E" w:rsidRPr="00805854">
        <w:rPr>
          <w:rFonts w:eastAsiaTheme="minorEastAsia"/>
          <w:bCs/>
          <w:lang w:eastAsia="zh-CN"/>
        </w:rPr>
        <w:t>, in these circumstances,</w:t>
      </w:r>
      <w:r w:rsidR="00223DF1" w:rsidRPr="00805854">
        <w:rPr>
          <w:rFonts w:eastAsiaTheme="minorEastAsia"/>
          <w:bCs/>
          <w:lang w:eastAsia="zh-CN"/>
        </w:rPr>
        <w:t xml:space="preserve"> </w:t>
      </w:r>
      <w:r w:rsidR="00021D16" w:rsidRPr="00805854">
        <w:rPr>
          <w:rFonts w:eastAsiaTheme="minorEastAsia"/>
          <w:bCs/>
          <w:lang w:eastAsia="zh-CN"/>
        </w:rPr>
        <w:t>alteration of the software</w:t>
      </w:r>
      <w:r w:rsidR="00223DF1" w:rsidRPr="00805854">
        <w:rPr>
          <w:rFonts w:eastAsiaTheme="minorEastAsia"/>
          <w:bCs/>
          <w:lang w:eastAsia="zh-CN"/>
        </w:rPr>
        <w:t xml:space="preserve"> would have been </w:t>
      </w:r>
      <w:r w:rsidR="00021D16" w:rsidRPr="00805854">
        <w:rPr>
          <w:rFonts w:eastAsiaTheme="minorEastAsia"/>
          <w:bCs/>
          <w:lang w:eastAsia="zh-CN"/>
        </w:rPr>
        <w:t>a reasonable step to prevent infringement, and held the defendant liable for authorisation.</w:t>
      </w:r>
      <w:r w:rsidR="00677F0C" w:rsidRPr="00805854">
        <w:rPr>
          <w:rFonts w:eastAsiaTheme="minorEastAsia"/>
          <w:bCs/>
          <w:lang w:eastAsia="zh-CN"/>
        </w:rPr>
        <w:t xml:space="preserve"> But that is not to say that it would be</w:t>
      </w:r>
      <w:r w:rsidR="00B63ED1" w:rsidRPr="00805854">
        <w:rPr>
          <w:rFonts w:eastAsiaTheme="minorEastAsia"/>
          <w:bCs/>
          <w:lang w:eastAsia="zh-CN"/>
        </w:rPr>
        <w:t xml:space="preserve"> a</w:t>
      </w:r>
      <w:r w:rsidR="00677F0C" w:rsidRPr="00805854">
        <w:rPr>
          <w:rFonts w:eastAsiaTheme="minorEastAsia"/>
          <w:bCs/>
          <w:lang w:eastAsia="zh-CN"/>
        </w:rPr>
        <w:t xml:space="preserve"> reasonable step </w:t>
      </w:r>
      <w:r w:rsidR="00223DF1" w:rsidRPr="00805854">
        <w:rPr>
          <w:rFonts w:eastAsiaTheme="minorEastAsia"/>
          <w:bCs/>
          <w:lang w:eastAsia="zh-CN"/>
        </w:rPr>
        <w:t>in other cases</w:t>
      </w:r>
      <w:r w:rsidR="00677F0C" w:rsidRPr="00805854">
        <w:rPr>
          <w:rFonts w:eastAsiaTheme="minorEastAsia"/>
          <w:bCs/>
          <w:lang w:eastAsia="zh-CN"/>
        </w:rPr>
        <w:t xml:space="preserve">. </w:t>
      </w:r>
      <w:r w:rsidR="004434DE" w:rsidRPr="00805854">
        <w:rPr>
          <w:rFonts w:eastAsiaTheme="minorEastAsia"/>
          <w:bCs/>
          <w:lang w:eastAsia="zh-CN"/>
        </w:rPr>
        <w:t xml:space="preserve">Another software provider with a similar power to prevent third party infringement, but </w:t>
      </w:r>
      <w:r w:rsidR="00FB1DE9" w:rsidRPr="00805854">
        <w:rPr>
          <w:rFonts w:eastAsiaTheme="minorEastAsia"/>
          <w:bCs/>
          <w:lang w:eastAsia="zh-CN"/>
        </w:rPr>
        <w:t>with</w:t>
      </w:r>
      <w:r w:rsidR="004434DE" w:rsidRPr="00805854">
        <w:rPr>
          <w:rFonts w:eastAsiaTheme="minorEastAsia"/>
          <w:bCs/>
          <w:lang w:eastAsia="zh-CN"/>
        </w:rPr>
        <w:t xml:space="preserve"> less intimate involve</w:t>
      </w:r>
      <w:r w:rsidR="00FB1DE9" w:rsidRPr="00805854">
        <w:rPr>
          <w:rFonts w:eastAsiaTheme="minorEastAsia"/>
          <w:bCs/>
          <w:lang w:eastAsia="zh-CN"/>
        </w:rPr>
        <w:t>ment</w:t>
      </w:r>
      <w:r w:rsidR="00AA1776" w:rsidRPr="00805854">
        <w:rPr>
          <w:rFonts w:eastAsiaTheme="minorEastAsia"/>
          <w:bCs/>
          <w:lang w:eastAsia="zh-CN"/>
        </w:rPr>
        <w:t xml:space="preserve"> in that</w:t>
      </w:r>
      <w:r w:rsidR="004434DE" w:rsidRPr="00805854">
        <w:rPr>
          <w:rFonts w:eastAsiaTheme="minorEastAsia"/>
          <w:bCs/>
          <w:lang w:eastAsia="zh-CN"/>
        </w:rPr>
        <w:t xml:space="preserve"> infringement, is unlikely to have any obligation to exercise it. </w:t>
      </w:r>
      <w:r w:rsidR="00502459">
        <w:rPr>
          <w:rFonts w:eastAsiaTheme="minorEastAsia"/>
          <w:bCs/>
          <w:lang w:eastAsia="zh-CN"/>
        </w:rPr>
        <w:t>In general</w:t>
      </w:r>
      <w:r w:rsidR="00AA1776" w:rsidRPr="00805854">
        <w:rPr>
          <w:rFonts w:eastAsiaTheme="minorEastAsia"/>
          <w:bCs/>
          <w:lang w:eastAsia="zh-CN"/>
        </w:rPr>
        <w:t>, th</w:t>
      </w:r>
      <w:r w:rsidR="004434DE" w:rsidRPr="00805854">
        <w:rPr>
          <w:rFonts w:eastAsiaTheme="minorEastAsia"/>
          <w:bCs/>
          <w:lang w:eastAsia="zh-CN"/>
        </w:rPr>
        <w:t xml:space="preserve">e greater the defendant’s involvement, the more it is obliged to do to avoid liability. </w:t>
      </w:r>
    </w:p>
    <w:p w14:paraId="3A2FF68C" w14:textId="48C65E47" w:rsidR="00EA402C" w:rsidRPr="00805854" w:rsidRDefault="004B4E92" w:rsidP="00D4413D">
      <w:pPr>
        <w:jc w:val="both"/>
        <w:rPr>
          <w:rFonts w:eastAsiaTheme="minorEastAsia"/>
          <w:bCs/>
          <w:lang w:eastAsia="zh-CN"/>
        </w:rPr>
      </w:pPr>
      <w:r w:rsidRPr="00805854">
        <w:rPr>
          <w:rFonts w:eastAsiaTheme="minorEastAsia"/>
          <w:bCs/>
          <w:lang w:eastAsia="zh-CN"/>
        </w:rPr>
        <w:t xml:space="preserve">That principle can be further illustrated by the case of </w:t>
      </w:r>
      <w:r w:rsidR="00EA402C" w:rsidRPr="00805854">
        <w:rPr>
          <w:rFonts w:eastAsiaTheme="minorEastAsia"/>
          <w:bCs/>
          <w:i/>
          <w:lang w:eastAsia="zh-CN"/>
        </w:rPr>
        <w:t>Cooper v Universal Music Australia</w:t>
      </w:r>
      <w:r w:rsidR="00A144C5" w:rsidRPr="00805854">
        <w:rPr>
          <w:rFonts w:eastAsiaTheme="minorEastAsia"/>
          <w:bCs/>
          <w:lang w:eastAsia="zh-CN"/>
        </w:rPr>
        <w:t>.</w:t>
      </w:r>
      <w:r w:rsidR="00164D9F">
        <w:rPr>
          <w:rStyle w:val="FootnoteReference"/>
          <w:rFonts w:eastAsiaTheme="minorEastAsia"/>
          <w:bCs/>
          <w:lang w:eastAsia="zh-CN"/>
        </w:rPr>
        <w:footnoteReference w:id="35"/>
      </w:r>
      <w:r w:rsidR="00A144C5" w:rsidRPr="00805854">
        <w:rPr>
          <w:rFonts w:eastAsiaTheme="minorEastAsia"/>
          <w:bCs/>
          <w:lang w:eastAsia="zh-CN"/>
        </w:rPr>
        <w:t xml:space="preserve"> </w:t>
      </w:r>
      <w:r w:rsidRPr="00805854">
        <w:rPr>
          <w:rFonts w:eastAsiaTheme="minorEastAsia"/>
          <w:bCs/>
          <w:lang w:eastAsia="zh-CN"/>
        </w:rPr>
        <w:t xml:space="preserve">Primary infringements occurred when </w:t>
      </w:r>
      <w:r w:rsidR="00A144C5" w:rsidRPr="00805854">
        <w:rPr>
          <w:rFonts w:eastAsiaTheme="minorEastAsia"/>
          <w:bCs/>
          <w:lang w:eastAsia="zh-CN"/>
        </w:rPr>
        <w:t xml:space="preserve">users followed links from the website ‘MP3s4FREE’ </w:t>
      </w:r>
      <w:r w:rsidRPr="00805854">
        <w:rPr>
          <w:rFonts w:eastAsiaTheme="minorEastAsia"/>
          <w:bCs/>
          <w:lang w:eastAsia="zh-CN"/>
        </w:rPr>
        <w:t>to download</w:t>
      </w:r>
      <w:r w:rsidR="00A144C5" w:rsidRPr="00805854">
        <w:rPr>
          <w:rFonts w:eastAsiaTheme="minorEastAsia"/>
          <w:bCs/>
          <w:lang w:eastAsia="zh-CN"/>
        </w:rPr>
        <w:t xml:space="preserve"> infringing sound recordings. Not only was the website provider liable</w:t>
      </w:r>
      <w:r w:rsidRPr="00805854">
        <w:rPr>
          <w:rFonts w:eastAsiaTheme="minorEastAsia"/>
          <w:bCs/>
          <w:lang w:eastAsia="zh-CN"/>
        </w:rPr>
        <w:t xml:space="preserve"> for authorising those infringement</w:t>
      </w:r>
      <w:r w:rsidR="00A144C5" w:rsidRPr="00805854">
        <w:rPr>
          <w:rFonts w:eastAsiaTheme="minorEastAsia"/>
          <w:bCs/>
          <w:lang w:eastAsia="zh-CN"/>
        </w:rPr>
        <w:t xml:space="preserve">, but so </w:t>
      </w:r>
      <w:r w:rsidR="00B63ED1" w:rsidRPr="00805854">
        <w:rPr>
          <w:rFonts w:eastAsiaTheme="minorEastAsia"/>
          <w:bCs/>
          <w:lang w:eastAsia="zh-CN"/>
        </w:rPr>
        <w:t xml:space="preserve">too </w:t>
      </w:r>
      <w:r w:rsidR="00A144C5" w:rsidRPr="00805854">
        <w:rPr>
          <w:rFonts w:eastAsiaTheme="minorEastAsia"/>
          <w:bCs/>
          <w:lang w:eastAsia="zh-CN"/>
        </w:rPr>
        <w:t>was the ISP that hosted the site</w:t>
      </w:r>
      <w:r w:rsidR="00B63ED1" w:rsidRPr="00805854">
        <w:rPr>
          <w:rFonts w:eastAsiaTheme="minorEastAsia"/>
          <w:bCs/>
          <w:lang w:eastAsia="zh-CN"/>
        </w:rPr>
        <w:t xml:space="preserve"> on its servers. </w:t>
      </w:r>
      <w:r w:rsidRPr="00805854">
        <w:rPr>
          <w:rFonts w:eastAsiaTheme="minorEastAsia"/>
          <w:bCs/>
          <w:lang w:eastAsia="zh-CN"/>
        </w:rPr>
        <w:t>The ISP</w:t>
      </w:r>
      <w:r w:rsidR="009D04B6" w:rsidRPr="00805854">
        <w:rPr>
          <w:rFonts w:eastAsiaTheme="minorEastAsia"/>
          <w:bCs/>
          <w:lang w:eastAsia="zh-CN"/>
        </w:rPr>
        <w:t xml:space="preserve"> knew that</w:t>
      </w:r>
      <w:r w:rsidR="00164D9F">
        <w:rPr>
          <w:rFonts w:eastAsiaTheme="minorEastAsia"/>
          <w:bCs/>
          <w:lang w:eastAsia="zh-CN"/>
        </w:rPr>
        <w:t xml:space="preserve"> the</w:t>
      </w:r>
      <w:r w:rsidR="00B63ED1" w:rsidRPr="00805854">
        <w:rPr>
          <w:rFonts w:eastAsiaTheme="minorEastAsia"/>
          <w:bCs/>
          <w:lang w:eastAsia="zh-CN"/>
        </w:rPr>
        <w:t xml:space="preserve"> MP3S4FREE </w:t>
      </w:r>
      <w:r w:rsidR="00164D9F">
        <w:rPr>
          <w:rFonts w:eastAsiaTheme="minorEastAsia"/>
          <w:bCs/>
          <w:lang w:eastAsia="zh-CN"/>
        </w:rPr>
        <w:t xml:space="preserve">website </w:t>
      </w:r>
      <w:r w:rsidR="00B63ED1" w:rsidRPr="00805854">
        <w:rPr>
          <w:rFonts w:eastAsiaTheme="minorEastAsia"/>
          <w:bCs/>
          <w:lang w:eastAsia="zh-CN"/>
        </w:rPr>
        <w:t xml:space="preserve">linked users to infringing material, </w:t>
      </w:r>
      <w:r w:rsidRPr="00805854">
        <w:rPr>
          <w:rFonts w:eastAsiaTheme="minorEastAsia"/>
          <w:bCs/>
          <w:lang w:eastAsia="zh-CN"/>
        </w:rPr>
        <w:t xml:space="preserve">and </w:t>
      </w:r>
      <w:r w:rsidR="009D04B6" w:rsidRPr="00805854">
        <w:rPr>
          <w:rFonts w:eastAsiaTheme="minorEastAsia"/>
          <w:bCs/>
          <w:lang w:eastAsia="zh-CN"/>
        </w:rPr>
        <w:t xml:space="preserve">could have reasonably prevented the infringements by declining or ceasing to host the site. Instead, it </w:t>
      </w:r>
      <w:r w:rsidR="00B63ED1" w:rsidRPr="00805854">
        <w:rPr>
          <w:rFonts w:eastAsiaTheme="minorEastAsia"/>
          <w:bCs/>
          <w:lang w:eastAsia="zh-CN"/>
        </w:rPr>
        <w:t xml:space="preserve">agreed to provide free hosting </w:t>
      </w:r>
      <w:r w:rsidR="009D04B6" w:rsidRPr="00805854">
        <w:rPr>
          <w:rFonts w:eastAsiaTheme="minorEastAsia"/>
          <w:bCs/>
          <w:lang w:eastAsia="zh-CN"/>
        </w:rPr>
        <w:t>with the intention of attracting business from the third party infringers.</w:t>
      </w:r>
      <w:r w:rsidR="009D04B6" w:rsidRPr="00805854">
        <w:rPr>
          <w:rStyle w:val="FootnoteReference"/>
          <w:rFonts w:eastAsiaTheme="minorEastAsia"/>
          <w:bCs/>
          <w:lang w:eastAsia="zh-CN"/>
        </w:rPr>
        <w:footnoteReference w:id="36"/>
      </w:r>
      <w:r w:rsidR="009D04B6" w:rsidRPr="00805854">
        <w:rPr>
          <w:rFonts w:eastAsiaTheme="minorEastAsia"/>
          <w:bCs/>
          <w:lang w:eastAsia="zh-CN"/>
        </w:rPr>
        <w:t xml:space="preserve"> Those circumstances reached the threshold for</w:t>
      </w:r>
      <w:r w:rsidR="009A2D8E" w:rsidRPr="00805854">
        <w:rPr>
          <w:rFonts w:eastAsiaTheme="minorEastAsia"/>
          <w:bCs/>
          <w:lang w:eastAsia="zh-CN"/>
        </w:rPr>
        <w:t xml:space="preserve"> liability. While ISPs will not always be liable for user infringements, </w:t>
      </w:r>
      <w:r w:rsidR="001B582A" w:rsidRPr="00805854">
        <w:rPr>
          <w:rFonts w:eastAsiaTheme="minorEastAsia"/>
          <w:bCs/>
          <w:lang w:eastAsia="zh-CN"/>
        </w:rPr>
        <w:t xml:space="preserve">they </w:t>
      </w:r>
      <w:r w:rsidRPr="00805854">
        <w:rPr>
          <w:rFonts w:eastAsiaTheme="minorEastAsia"/>
          <w:bCs/>
          <w:lang w:eastAsia="zh-CN"/>
        </w:rPr>
        <w:t xml:space="preserve">certainly can and </w:t>
      </w:r>
      <w:r w:rsidR="001B582A" w:rsidRPr="00805854">
        <w:rPr>
          <w:rFonts w:eastAsiaTheme="minorEastAsia"/>
          <w:bCs/>
          <w:lang w:eastAsia="zh-CN"/>
        </w:rPr>
        <w:t>will be under the current law where they have</w:t>
      </w:r>
      <w:r w:rsidR="009A2D8E" w:rsidRPr="00805854">
        <w:rPr>
          <w:rFonts w:eastAsiaTheme="minorEastAsia"/>
          <w:bCs/>
          <w:lang w:eastAsia="zh-CN"/>
        </w:rPr>
        <w:t xml:space="preserve"> sufficient</w:t>
      </w:r>
      <w:r w:rsidR="001B582A" w:rsidRPr="00805854">
        <w:rPr>
          <w:rFonts w:eastAsiaTheme="minorEastAsia"/>
          <w:bCs/>
          <w:lang w:eastAsia="zh-CN"/>
        </w:rPr>
        <w:t>ly close involvement.</w:t>
      </w:r>
      <w:r w:rsidR="009A2D8E" w:rsidRPr="00805854">
        <w:rPr>
          <w:rFonts w:eastAsiaTheme="minorEastAsia"/>
          <w:bCs/>
          <w:lang w:eastAsia="zh-CN"/>
        </w:rPr>
        <w:t xml:space="preserve"> </w:t>
      </w:r>
    </w:p>
    <w:p w14:paraId="5D121B18" w14:textId="77777777" w:rsidR="00A03156" w:rsidRPr="00805854" w:rsidRDefault="00A03156" w:rsidP="00D4413D">
      <w:pPr>
        <w:pStyle w:val="Heading1"/>
        <w:jc w:val="both"/>
      </w:pPr>
      <w:bookmarkStart w:id="6" w:name="_Toc397245893"/>
      <w:r w:rsidRPr="00805854">
        <w:t>The proposed amendment</w:t>
      </w:r>
      <w:bookmarkEnd w:id="6"/>
    </w:p>
    <w:p w14:paraId="1AA65770" w14:textId="77777777" w:rsidR="001D1165" w:rsidRPr="00805854" w:rsidRDefault="001D1165" w:rsidP="00D4413D">
      <w:pPr>
        <w:jc w:val="both"/>
        <w:rPr>
          <w:rFonts w:eastAsiaTheme="minorEastAsia"/>
          <w:bCs/>
          <w:lang w:eastAsia="zh-CN"/>
        </w:rPr>
      </w:pPr>
    </w:p>
    <w:p w14:paraId="7A7536DB" w14:textId="4CFD86ED" w:rsidR="006E1FBA" w:rsidRPr="00805854" w:rsidRDefault="006E1FBA" w:rsidP="00D4413D">
      <w:pPr>
        <w:jc w:val="both"/>
        <w:rPr>
          <w:rFonts w:eastAsiaTheme="minorEastAsia"/>
          <w:bCs/>
          <w:lang w:eastAsia="zh-CN"/>
        </w:rPr>
      </w:pPr>
      <w:r w:rsidRPr="00805854">
        <w:rPr>
          <w:rFonts w:eastAsiaTheme="minorEastAsia"/>
          <w:bCs/>
          <w:lang w:eastAsia="zh-CN"/>
        </w:rPr>
        <w:lastRenderedPageBreak/>
        <w:t>The Gov</w:t>
      </w:r>
      <w:r w:rsidR="00903BCC" w:rsidRPr="00805854">
        <w:rPr>
          <w:rFonts w:eastAsiaTheme="minorEastAsia"/>
          <w:bCs/>
          <w:lang w:eastAsia="zh-CN"/>
        </w:rPr>
        <w:t xml:space="preserve">ernment </w:t>
      </w:r>
      <w:r w:rsidR="004B4E92" w:rsidRPr="00805854">
        <w:rPr>
          <w:rFonts w:eastAsiaTheme="minorEastAsia"/>
          <w:bCs/>
          <w:lang w:eastAsia="zh-CN"/>
        </w:rPr>
        <w:t>proposes</w:t>
      </w:r>
      <w:r w:rsidR="00265B58" w:rsidRPr="00805854">
        <w:rPr>
          <w:rFonts w:eastAsiaTheme="minorEastAsia"/>
          <w:bCs/>
          <w:lang w:eastAsia="zh-CN"/>
        </w:rPr>
        <w:t xml:space="preserve"> </w:t>
      </w:r>
      <w:r w:rsidR="000D3C48">
        <w:rPr>
          <w:rFonts w:eastAsiaTheme="minorEastAsia"/>
          <w:bCs/>
          <w:lang w:eastAsia="zh-CN"/>
        </w:rPr>
        <w:t xml:space="preserve">to </w:t>
      </w:r>
      <w:r w:rsidR="00265B58" w:rsidRPr="00805854">
        <w:rPr>
          <w:rFonts w:eastAsiaTheme="minorEastAsia"/>
          <w:bCs/>
          <w:lang w:eastAsia="zh-CN"/>
        </w:rPr>
        <w:t>extend</w:t>
      </w:r>
      <w:r w:rsidRPr="00805854">
        <w:rPr>
          <w:rFonts w:eastAsiaTheme="minorEastAsia"/>
          <w:bCs/>
          <w:lang w:eastAsia="zh-CN"/>
        </w:rPr>
        <w:t xml:space="preserve"> the existing </w:t>
      </w:r>
      <w:r w:rsidR="000D3C48" w:rsidRPr="00805854">
        <w:rPr>
          <w:rFonts w:eastAsiaTheme="minorEastAsia"/>
          <w:bCs/>
          <w:lang w:eastAsia="zh-CN"/>
        </w:rPr>
        <w:t>authori</w:t>
      </w:r>
      <w:r w:rsidR="000D3C48">
        <w:rPr>
          <w:rFonts w:eastAsiaTheme="minorEastAsia"/>
          <w:bCs/>
          <w:lang w:eastAsia="zh-CN"/>
        </w:rPr>
        <w:t>s</w:t>
      </w:r>
      <w:r w:rsidR="000D3C48" w:rsidRPr="00805854">
        <w:rPr>
          <w:rFonts w:eastAsiaTheme="minorEastAsia"/>
          <w:bCs/>
          <w:lang w:eastAsia="zh-CN"/>
        </w:rPr>
        <w:t xml:space="preserve">ation </w:t>
      </w:r>
      <w:r w:rsidRPr="00805854">
        <w:rPr>
          <w:rFonts w:eastAsiaTheme="minorEastAsia"/>
          <w:bCs/>
          <w:lang w:eastAsia="zh-CN"/>
        </w:rPr>
        <w:t>law by amending the factors that were introduced into the Copyright Act as part of the 2000 codification.</w:t>
      </w:r>
      <w:r w:rsidR="00874866">
        <w:rPr>
          <w:rStyle w:val="FootnoteReference"/>
          <w:rFonts w:eastAsiaTheme="minorEastAsia"/>
          <w:bCs/>
          <w:lang w:eastAsia="zh-CN"/>
        </w:rPr>
        <w:footnoteReference w:id="37"/>
      </w:r>
      <w:r w:rsidRPr="00805854">
        <w:rPr>
          <w:rFonts w:eastAsiaTheme="minorEastAsia"/>
          <w:bCs/>
          <w:lang w:eastAsia="zh-CN"/>
        </w:rPr>
        <w:t xml:space="preserve">  It </w:t>
      </w:r>
      <w:r w:rsidR="005C6221" w:rsidRPr="00805854">
        <w:rPr>
          <w:rFonts w:eastAsiaTheme="minorEastAsia"/>
          <w:bCs/>
          <w:lang w:eastAsia="zh-CN"/>
        </w:rPr>
        <w:t xml:space="preserve">would </w:t>
      </w:r>
      <w:r w:rsidR="00FC7E56">
        <w:rPr>
          <w:rFonts w:eastAsiaTheme="minorEastAsia"/>
          <w:bCs/>
          <w:lang w:eastAsia="zh-CN"/>
        </w:rPr>
        <w:t>repeal</w:t>
      </w:r>
      <w:r w:rsidR="00FC7E56" w:rsidRPr="00805854">
        <w:rPr>
          <w:rFonts w:eastAsiaTheme="minorEastAsia"/>
          <w:bCs/>
          <w:lang w:eastAsia="zh-CN"/>
        </w:rPr>
        <w:t xml:space="preserve"> </w:t>
      </w:r>
      <w:r w:rsidRPr="00805854">
        <w:rPr>
          <w:rFonts w:eastAsiaTheme="minorEastAsia"/>
          <w:bCs/>
          <w:lang w:eastAsia="zh-CN"/>
        </w:rPr>
        <w:t xml:space="preserve">consideration </w:t>
      </w:r>
      <w:r w:rsidR="00502459">
        <w:rPr>
          <w:rFonts w:eastAsiaTheme="minorEastAsia"/>
          <w:bCs/>
          <w:lang w:eastAsia="zh-CN"/>
        </w:rPr>
        <w:t>of</w:t>
      </w:r>
      <w:r w:rsidR="00502459" w:rsidRPr="00805854">
        <w:rPr>
          <w:rFonts w:eastAsiaTheme="minorEastAsia"/>
          <w:bCs/>
          <w:lang w:eastAsia="zh-CN"/>
        </w:rPr>
        <w:t xml:space="preserve"> </w:t>
      </w:r>
      <w:r w:rsidRPr="00805854">
        <w:rPr>
          <w:rFonts w:eastAsiaTheme="minorEastAsia"/>
          <w:bCs/>
          <w:lang w:eastAsia="zh-CN"/>
        </w:rPr>
        <w:t xml:space="preserve">the defendant’s power to prevent the infringement from the list of factors that must be taken into account in determining whether </w:t>
      </w:r>
      <w:r w:rsidR="00B41308" w:rsidRPr="00805854">
        <w:rPr>
          <w:rFonts w:eastAsiaTheme="minorEastAsia"/>
          <w:bCs/>
          <w:lang w:eastAsia="zh-CN"/>
        </w:rPr>
        <w:t>authori</w:t>
      </w:r>
      <w:r w:rsidR="00B41308">
        <w:rPr>
          <w:rFonts w:eastAsiaTheme="minorEastAsia"/>
          <w:bCs/>
          <w:lang w:eastAsia="zh-CN"/>
        </w:rPr>
        <w:t>s</w:t>
      </w:r>
      <w:r w:rsidR="00B41308" w:rsidRPr="00805854">
        <w:rPr>
          <w:rFonts w:eastAsiaTheme="minorEastAsia"/>
          <w:bCs/>
          <w:lang w:eastAsia="zh-CN"/>
        </w:rPr>
        <w:t xml:space="preserve">ation </w:t>
      </w:r>
      <w:r w:rsidR="005C6221" w:rsidRPr="00805854">
        <w:rPr>
          <w:rFonts w:eastAsiaTheme="minorEastAsia"/>
          <w:bCs/>
          <w:lang w:eastAsia="zh-CN"/>
        </w:rPr>
        <w:t>occurred</w:t>
      </w:r>
      <w:r w:rsidR="00B41308">
        <w:rPr>
          <w:rFonts w:eastAsiaTheme="minorEastAsia"/>
          <w:bCs/>
          <w:lang w:eastAsia="zh-CN"/>
        </w:rPr>
        <w:t>.</w:t>
      </w:r>
      <w:r w:rsidR="00874866">
        <w:rPr>
          <w:rStyle w:val="FootnoteReference"/>
          <w:rFonts w:eastAsiaTheme="minorEastAsia"/>
          <w:bCs/>
          <w:lang w:eastAsia="zh-CN"/>
        </w:rPr>
        <w:footnoteReference w:id="38"/>
      </w:r>
      <w:r w:rsidR="00B41308" w:rsidRPr="00805854">
        <w:rPr>
          <w:rFonts w:eastAsiaTheme="minorEastAsia"/>
          <w:bCs/>
          <w:lang w:eastAsia="zh-CN"/>
        </w:rPr>
        <w:t xml:space="preserve"> </w:t>
      </w:r>
      <w:r w:rsidR="00B41308">
        <w:rPr>
          <w:rFonts w:eastAsiaTheme="minorEastAsia"/>
          <w:bCs/>
          <w:lang w:eastAsia="zh-CN"/>
        </w:rPr>
        <w:t xml:space="preserve">Instead, the defendant’s power to prevent would only be relevant to </w:t>
      </w:r>
      <w:r w:rsidRPr="00805854">
        <w:rPr>
          <w:rFonts w:eastAsiaTheme="minorEastAsia"/>
          <w:bCs/>
          <w:lang w:eastAsia="zh-CN"/>
        </w:rPr>
        <w:t xml:space="preserve">whether </w:t>
      </w:r>
      <w:r w:rsidR="00502459">
        <w:rPr>
          <w:rFonts w:eastAsiaTheme="minorEastAsia"/>
          <w:bCs/>
          <w:lang w:eastAsia="zh-CN"/>
        </w:rPr>
        <w:t>the defendant</w:t>
      </w:r>
      <w:r w:rsidR="00502459" w:rsidRPr="00805854">
        <w:rPr>
          <w:rFonts w:eastAsiaTheme="minorEastAsia"/>
          <w:bCs/>
          <w:lang w:eastAsia="zh-CN"/>
        </w:rPr>
        <w:t xml:space="preserve"> </w:t>
      </w:r>
      <w:r w:rsidRPr="00805854">
        <w:rPr>
          <w:rFonts w:eastAsiaTheme="minorEastAsia"/>
          <w:bCs/>
          <w:lang w:eastAsia="zh-CN"/>
        </w:rPr>
        <w:t xml:space="preserve">took any reasonable steps to prevent or avoid the doing of the </w:t>
      </w:r>
      <w:r w:rsidR="00502459">
        <w:rPr>
          <w:rFonts w:eastAsiaTheme="minorEastAsia"/>
          <w:bCs/>
          <w:lang w:eastAsia="zh-CN"/>
        </w:rPr>
        <w:t xml:space="preserve">infringing </w:t>
      </w:r>
      <w:r w:rsidRPr="00805854">
        <w:rPr>
          <w:rFonts w:eastAsiaTheme="minorEastAsia"/>
          <w:bCs/>
          <w:lang w:eastAsia="zh-CN"/>
        </w:rPr>
        <w:t>act.</w:t>
      </w:r>
      <w:r w:rsidR="00A90BFE">
        <w:rPr>
          <w:rStyle w:val="FootnoteReference"/>
          <w:rFonts w:eastAsiaTheme="minorEastAsia"/>
          <w:bCs/>
          <w:lang w:eastAsia="zh-CN"/>
        </w:rPr>
        <w:footnoteReference w:id="39"/>
      </w:r>
      <w:r w:rsidRPr="00805854">
        <w:rPr>
          <w:rFonts w:eastAsiaTheme="minorEastAsia"/>
          <w:bCs/>
          <w:lang w:eastAsia="zh-CN"/>
        </w:rPr>
        <w:t xml:space="preserve"> </w:t>
      </w:r>
    </w:p>
    <w:p w14:paraId="7DC66139" w14:textId="352E0F3C" w:rsidR="00904F75" w:rsidRPr="00805854" w:rsidRDefault="006E1FBA" w:rsidP="00D4413D">
      <w:pPr>
        <w:jc w:val="both"/>
        <w:rPr>
          <w:rFonts w:eastAsiaTheme="minorEastAsia"/>
          <w:bCs/>
          <w:lang w:eastAsia="zh-CN"/>
        </w:rPr>
      </w:pPr>
      <w:r w:rsidRPr="00805854">
        <w:rPr>
          <w:rFonts w:eastAsiaTheme="minorEastAsia"/>
          <w:bCs/>
          <w:lang w:eastAsia="zh-CN"/>
        </w:rPr>
        <w:t xml:space="preserve">Thus, the </w:t>
      </w:r>
      <w:r w:rsidR="00904F75" w:rsidRPr="00805854">
        <w:rPr>
          <w:rFonts w:eastAsiaTheme="minorEastAsia"/>
          <w:bCs/>
          <w:lang w:eastAsia="zh-CN"/>
        </w:rPr>
        <w:t xml:space="preserve">factors the court would be required to take into account in determining whether a defendant has </w:t>
      </w:r>
      <w:r w:rsidR="00B41308" w:rsidRPr="00805854">
        <w:rPr>
          <w:rFonts w:eastAsiaTheme="minorEastAsia"/>
          <w:bCs/>
          <w:lang w:eastAsia="zh-CN"/>
        </w:rPr>
        <w:t>authori</w:t>
      </w:r>
      <w:r w:rsidR="00B41308">
        <w:rPr>
          <w:rFonts w:eastAsiaTheme="minorEastAsia"/>
          <w:bCs/>
          <w:lang w:eastAsia="zh-CN"/>
        </w:rPr>
        <w:t>s</w:t>
      </w:r>
      <w:r w:rsidR="00B41308" w:rsidRPr="00805854">
        <w:rPr>
          <w:rFonts w:eastAsiaTheme="minorEastAsia"/>
          <w:bCs/>
          <w:lang w:eastAsia="zh-CN"/>
        </w:rPr>
        <w:t xml:space="preserve">ed </w:t>
      </w:r>
      <w:r w:rsidR="00904F75" w:rsidRPr="00805854">
        <w:rPr>
          <w:rFonts w:eastAsiaTheme="minorEastAsia"/>
          <w:bCs/>
          <w:lang w:eastAsia="zh-CN"/>
        </w:rPr>
        <w:t xml:space="preserve">infringement would be: </w:t>
      </w:r>
    </w:p>
    <w:p w14:paraId="3E8CB6AD" w14:textId="0154C037" w:rsidR="006E1FBA" w:rsidRPr="00805854" w:rsidRDefault="006E1FBA" w:rsidP="00D4413D">
      <w:pPr>
        <w:numPr>
          <w:ilvl w:val="0"/>
          <w:numId w:val="9"/>
        </w:numPr>
        <w:ind w:left="567" w:hanging="567"/>
        <w:jc w:val="both"/>
        <w:rPr>
          <w:rFonts w:eastAsiaTheme="minorEastAsia"/>
          <w:bCs/>
          <w:lang w:eastAsia="zh-CN"/>
        </w:rPr>
      </w:pPr>
      <w:r w:rsidRPr="00805854">
        <w:rPr>
          <w:rFonts w:eastAsiaTheme="minorEastAsia"/>
          <w:bCs/>
          <w:lang w:eastAsia="zh-CN"/>
        </w:rPr>
        <w:t xml:space="preserve">the nature of any relationship existing between the </w:t>
      </w:r>
      <w:r w:rsidR="00B41308">
        <w:rPr>
          <w:rFonts w:eastAsiaTheme="minorEastAsia"/>
          <w:bCs/>
          <w:lang w:eastAsia="zh-CN"/>
        </w:rPr>
        <w:t>defendant</w:t>
      </w:r>
      <w:r w:rsidR="00B41308" w:rsidRPr="00805854">
        <w:rPr>
          <w:rFonts w:eastAsiaTheme="minorEastAsia"/>
          <w:bCs/>
          <w:lang w:eastAsia="zh-CN"/>
        </w:rPr>
        <w:t xml:space="preserve"> </w:t>
      </w:r>
      <w:r w:rsidRPr="00805854">
        <w:rPr>
          <w:rFonts w:eastAsiaTheme="minorEastAsia"/>
          <w:bCs/>
          <w:lang w:eastAsia="zh-CN"/>
        </w:rPr>
        <w:t xml:space="preserve">and the </w:t>
      </w:r>
      <w:r w:rsidR="00B41308">
        <w:rPr>
          <w:rFonts w:eastAsiaTheme="minorEastAsia"/>
          <w:bCs/>
          <w:lang w:eastAsia="zh-CN"/>
        </w:rPr>
        <w:t>primary infringer</w:t>
      </w:r>
      <w:r w:rsidRPr="00805854">
        <w:rPr>
          <w:rFonts w:eastAsiaTheme="minorEastAsia"/>
          <w:bCs/>
          <w:lang w:eastAsia="zh-CN"/>
        </w:rPr>
        <w:t>; and</w:t>
      </w:r>
    </w:p>
    <w:p w14:paraId="3748E523" w14:textId="6874C213" w:rsidR="006E1FBA" w:rsidRPr="00805854" w:rsidRDefault="006E1FBA" w:rsidP="00D4413D">
      <w:pPr>
        <w:numPr>
          <w:ilvl w:val="0"/>
          <w:numId w:val="9"/>
        </w:numPr>
        <w:ind w:left="567" w:hanging="567"/>
        <w:jc w:val="both"/>
        <w:rPr>
          <w:rFonts w:eastAsiaTheme="minorEastAsia"/>
          <w:bCs/>
          <w:lang w:eastAsia="zh-CN"/>
        </w:rPr>
      </w:pPr>
      <w:r w:rsidRPr="00805854">
        <w:rPr>
          <w:rFonts w:eastAsiaTheme="minorEastAsia"/>
          <w:bCs/>
          <w:lang w:eastAsia="zh-CN"/>
        </w:rPr>
        <w:t xml:space="preserve">whether the </w:t>
      </w:r>
      <w:r w:rsidR="00B41308">
        <w:rPr>
          <w:rFonts w:eastAsiaTheme="minorEastAsia"/>
          <w:bCs/>
          <w:lang w:eastAsia="zh-CN"/>
        </w:rPr>
        <w:t>defendant</w:t>
      </w:r>
      <w:r w:rsidR="00B41308" w:rsidRPr="00805854">
        <w:rPr>
          <w:rFonts w:eastAsiaTheme="minorEastAsia"/>
          <w:bCs/>
          <w:lang w:eastAsia="zh-CN"/>
        </w:rPr>
        <w:t xml:space="preserve"> </w:t>
      </w:r>
      <w:r w:rsidRPr="00805854">
        <w:rPr>
          <w:rFonts w:eastAsiaTheme="minorEastAsia"/>
          <w:bCs/>
          <w:lang w:eastAsia="zh-CN"/>
        </w:rPr>
        <w:t xml:space="preserve">took any </w:t>
      </w:r>
      <w:r w:rsidR="00B41308">
        <w:rPr>
          <w:rFonts w:eastAsiaTheme="minorEastAsia"/>
          <w:bCs/>
          <w:lang w:eastAsia="zh-CN"/>
        </w:rPr>
        <w:t>(</w:t>
      </w:r>
      <w:r w:rsidRPr="00805854">
        <w:rPr>
          <w:rFonts w:eastAsiaTheme="minorEastAsia"/>
          <w:bCs/>
          <w:lang w:eastAsia="zh-CN"/>
        </w:rPr>
        <w:t>other</w:t>
      </w:r>
      <w:r w:rsidR="00B41308">
        <w:rPr>
          <w:rFonts w:eastAsiaTheme="minorEastAsia"/>
          <w:bCs/>
          <w:lang w:eastAsia="zh-CN"/>
        </w:rPr>
        <w:t>)</w:t>
      </w:r>
      <w:r w:rsidRPr="00805854">
        <w:rPr>
          <w:rFonts w:eastAsiaTheme="minorEastAsia"/>
          <w:bCs/>
          <w:lang w:eastAsia="zh-CN"/>
        </w:rPr>
        <w:t xml:space="preserve"> reasonable steps to prevent or avoid the doing of the</w:t>
      </w:r>
      <w:r w:rsidR="00A7244F">
        <w:rPr>
          <w:rFonts w:eastAsiaTheme="minorEastAsia"/>
          <w:bCs/>
          <w:lang w:eastAsia="zh-CN"/>
        </w:rPr>
        <w:t xml:space="preserve"> infringing</w:t>
      </w:r>
      <w:r w:rsidRPr="00805854">
        <w:rPr>
          <w:rFonts w:eastAsiaTheme="minorEastAsia"/>
          <w:bCs/>
          <w:lang w:eastAsia="zh-CN"/>
        </w:rPr>
        <w:t xml:space="preserve"> act.</w:t>
      </w:r>
    </w:p>
    <w:p w14:paraId="028B44D6" w14:textId="3CD12CE5" w:rsidR="006E1FBA" w:rsidRPr="00805854" w:rsidRDefault="00A7244F" w:rsidP="00D4413D">
      <w:pPr>
        <w:jc w:val="both"/>
        <w:rPr>
          <w:rFonts w:eastAsiaTheme="minorEastAsia"/>
          <w:bCs/>
          <w:lang w:eastAsia="zh-CN"/>
        </w:rPr>
      </w:pPr>
      <w:r>
        <w:rPr>
          <w:rFonts w:eastAsiaTheme="minorEastAsia"/>
          <w:bCs/>
          <w:lang w:eastAsia="zh-CN"/>
        </w:rPr>
        <w:t>I</w:t>
      </w:r>
      <w:r w:rsidR="006E1FBA" w:rsidRPr="00805854">
        <w:rPr>
          <w:rFonts w:eastAsiaTheme="minorEastAsia"/>
          <w:bCs/>
          <w:lang w:eastAsia="zh-CN"/>
        </w:rPr>
        <w:t xml:space="preserve">n assessing whether the </w:t>
      </w:r>
      <w:r>
        <w:rPr>
          <w:rFonts w:eastAsiaTheme="minorEastAsia"/>
          <w:bCs/>
          <w:lang w:eastAsia="zh-CN"/>
        </w:rPr>
        <w:t>defendant</w:t>
      </w:r>
      <w:r w:rsidRPr="00805854">
        <w:rPr>
          <w:rFonts w:eastAsiaTheme="minorEastAsia"/>
          <w:bCs/>
          <w:lang w:eastAsia="zh-CN"/>
        </w:rPr>
        <w:t xml:space="preserve"> </w:t>
      </w:r>
      <w:r w:rsidR="006E1FBA" w:rsidRPr="00805854">
        <w:rPr>
          <w:rFonts w:eastAsiaTheme="minorEastAsia"/>
          <w:bCs/>
          <w:lang w:eastAsia="zh-CN"/>
        </w:rPr>
        <w:t>took any reasonable steps to prevent o</w:t>
      </w:r>
      <w:r w:rsidR="00904F75" w:rsidRPr="00805854">
        <w:rPr>
          <w:rFonts w:eastAsiaTheme="minorEastAsia"/>
          <w:bCs/>
          <w:lang w:eastAsia="zh-CN"/>
        </w:rPr>
        <w:t xml:space="preserve">r avoid the doing of the </w:t>
      </w:r>
      <w:r>
        <w:rPr>
          <w:rFonts w:eastAsiaTheme="minorEastAsia"/>
          <w:bCs/>
          <w:lang w:eastAsia="zh-CN"/>
        </w:rPr>
        <w:t xml:space="preserve">infringing </w:t>
      </w:r>
      <w:r w:rsidR="00904F75" w:rsidRPr="00805854">
        <w:rPr>
          <w:rFonts w:eastAsiaTheme="minorEastAsia"/>
          <w:bCs/>
          <w:lang w:eastAsia="zh-CN"/>
        </w:rPr>
        <w:t xml:space="preserve">act, </w:t>
      </w:r>
      <w:r w:rsidR="006E1FBA" w:rsidRPr="00805854">
        <w:rPr>
          <w:rFonts w:eastAsiaTheme="minorEastAsia"/>
          <w:bCs/>
          <w:lang w:eastAsia="zh-CN"/>
        </w:rPr>
        <w:t>court</w:t>
      </w:r>
      <w:r w:rsidR="00904F75" w:rsidRPr="00805854">
        <w:rPr>
          <w:rFonts w:eastAsiaTheme="minorEastAsia"/>
          <w:bCs/>
          <w:lang w:eastAsia="zh-CN"/>
        </w:rPr>
        <w:t xml:space="preserve">s would be required to </w:t>
      </w:r>
      <w:r w:rsidR="006E1FBA" w:rsidRPr="00805854">
        <w:rPr>
          <w:rFonts w:eastAsiaTheme="minorEastAsia"/>
          <w:bCs/>
          <w:lang w:eastAsia="zh-CN"/>
        </w:rPr>
        <w:t>have regard to:</w:t>
      </w:r>
    </w:p>
    <w:p w14:paraId="33DC8668" w14:textId="08DCE0E6" w:rsidR="006E1FBA" w:rsidRPr="00805854" w:rsidRDefault="006E1FBA" w:rsidP="00D4413D">
      <w:pPr>
        <w:numPr>
          <w:ilvl w:val="0"/>
          <w:numId w:val="9"/>
        </w:numPr>
        <w:ind w:left="567" w:hanging="567"/>
        <w:jc w:val="both"/>
        <w:rPr>
          <w:rFonts w:eastAsiaTheme="minorEastAsia"/>
          <w:bCs/>
          <w:lang w:eastAsia="zh-CN"/>
        </w:rPr>
      </w:pPr>
      <w:r w:rsidRPr="00805854">
        <w:rPr>
          <w:rFonts w:eastAsiaTheme="minorEastAsia"/>
          <w:bCs/>
          <w:lang w:eastAsia="zh-CN"/>
        </w:rPr>
        <w:t xml:space="preserve">the extent (if any) of the </w:t>
      </w:r>
      <w:r w:rsidR="00A7244F">
        <w:rPr>
          <w:rFonts w:eastAsiaTheme="minorEastAsia"/>
          <w:bCs/>
          <w:lang w:eastAsia="zh-CN"/>
        </w:rPr>
        <w:t>defendant</w:t>
      </w:r>
      <w:r w:rsidR="00A7244F" w:rsidRPr="00805854">
        <w:rPr>
          <w:rFonts w:eastAsiaTheme="minorEastAsia"/>
          <w:bCs/>
          <w:lang w:eastAsia="zh-CN"/>
        </w:rPr>
        <w:t xml:space="preserve">’s </w:t>
      </w:r>
      <w:r w:rsidRPr="00805854">
        <w:rPr>
          <w:rFonts w:eastAsiaTheme="minorEastAsia"/>
          <w:bCs/>
          <w:lang w:eastAsia="zh-CN"/>
        </w:rPr>
        <w:t>power to prevent the doing of the</w:t>
      </w:r>
      <w:r w:rsidR="00A7244F">
        <w:rPr>
          <w:rFonts w:eastAsiaTheme="minorEastAsia"/>
          <w:bCs/>
          <w:lang w:eastAsia="zh-CN"/>
        </w:rPr>
        <w:t xml:space="preserve"> infringing</w:t>
      </w:r>
      <w:r w:rsidRPr="00805854">
        <w:rPr>
          <w:rFonts w:eastAsiaTheme="minorEastAsia"/>
          <w:bCs/>
          <w:lang w:eastAsia="zh-CN"/>
        </w:rPr>
        <w:t xml:space="preserve"> act;</w:t>
      </w:r>
    </w:p>
    <w:p w14:paraId="2E1D1442" w14:textId="1CAC9A18" w:rsidR="006E1FBA" w:rsidRPr="00805854" w:rsidRDefault="006E1FBA" w:rsidP="00D4413D">
      <w:pPr>
        <w:numPr>
          <w:ilvl w:val="0"/>
          <w:numId w:val="9"/>
        </w:numPr>
        <w:ind w:left="567" w:hanging="567"/>
        <w:jc w:val="both"/>
        <w:rPr>
          <w:rFonts w:eastAsiaTheme="minorEastAsia"/>
          <w:bCs/>
          <w:lang w:eastAsia="zh-CN"/>
        </w:rPr>
      </w:pPr>
      <w:r w:rsidRPr="00805854">
        <w:rPr>
          <w:rFonts w:eastAsiaTheme="minorEastAsia"/>
          <w:bCs/>
          <w:lang w:eastAsia="zh-CN"/>
        </w:rPr>
        <w:t xml:space="preserve">whether the </w:t>
      </w:r>
      <w:r w:rsidR="00A7244F">
        <w:rPr>
          <w:rFonts w:eastAsiaTheme="minorEastAsia"/>
          <w:bCs/>
          <w:lang w:eastAsia="zh-CN"/>
        </w:rPr>
        <w:t>defendant</w:t>
      </w:r>
      <w:r w:rsidRPr="00805854">
        <w:rPr>
          <w:rFonts w:eastAsiaTheme="minorEastAsia"/>
          <w:bCs/>
          <w:lang w:eastAsia="zh-CN"/>
        </w:rPr>
        <w:t xml:space="preserve"> was complying with any relevant industry schemes or commercial arrangements entered into by relevant parties;</w:t>
      </w:r>
      <w:r w:rsidR="00C82068" w:rsidRPr="00805854">
        <w:rPr>
          <w:rFonts w:eastAsiaTheme="minorEastAsia"/>
          <w:bCs/>
          <w:lang w:eastAsia="zh-CN"/>
        </w:rPr>
        <w:t xml:space="preserve"> </w:t>
      </w:r>
    </w:p>
    <w:p w14:paraId="2C9EF59B" w14:textId="24A057F6" w:rsidR="006E1FBA" w:rsidRPr="00805854" w:rsidRDefault="006E1FBA" w:rsidP="00D4413D">
      <w:pPr>
        <w:numPr>
          <w:ilvl w:val="0"/>
          <w:numId w:val="9"/>
        </w:numPr>
        <w:ind w:left="567" w:hanging="567"/>
        <w:jc w:val="both"/>
        <w:rPr>
          <w:rFonts w:eastAsiaTheme="minorEastAsia"/>
          <w:bCs/>
          <w:lang w:eastAsia="zh-CN"/>
        </w:rPr>
      </w:pPr>
      <w:r w:rsidRPr="00805854">
        <w:rPr>
          <w:rFonts w:eastAsiaTheme="minorEastAsia"/>
          <w:bCs/>
          <w:lang w:eastAsia="zh-CN"/>
        </w:rPr>
        <w:t xml:space="preserve">whether the </w:t>
      </w:r>
      <w:r w:rsidR="00A7244F">
        <w:rPr>
          <w:rFonts w:eastAsiaTheme="minorEastAsia"/>
          <w:bCs/>
          <w:lang w:eastAsia="zh-CN"/>
        </w:rPr>
        <w:t>defendant</w:t>
      </w:r>
      <w:r w:rsidRPr="00805854">
        <w:rPr>
          <w:rFonts w:eastAsiaTheme="minorEastAsia"/>
          <w:bCs/>
          <w:lang w:eastAsia="zh-CN"/>
        </w:rPr>
        <w:t xml:space="preserve"> complied with any prescribed measures in the </w:t>
      </w:r>
      <w:r w:rsidRPr="00805854">
        <w:rPr>
          <w:rFonts w:eastAsiaTheme="minorEastAsia"/>
          <w:bCs/>
          <w:i/>
          <w:iCs/>
          <w:lang w:eastAsia="zh-CN"/>
        </w:rPr>
        <w:t>Copyright Regulations 1969</w:t>
      </w:r>
      <w:r w:rsidR="00A7244F">
        <w:rPr>
          <w:rFonts w:eastAsiaTheme="minorEastAsia"/>
          <w:bCs/>
          <w:iCs/>
          <w:lang w:eastAsia="zh-CN"/>
        </w:rPr>
        <w:t xml:space="preserve"> (Cth)</w:t>
      </w:r>
      <w:r w:rsidRPr="00805854">
        <w:rPr>
          <w:rFonts w:eastAsiaTheme="minorEastAsia"/>
          <w:bCs/>
          <w:lang w:eastAsia="zh-CN"/>
        </w:rPr>
        <w:t>; and</w:t>
      </w:r>
    </w:p>
    <w:p w14:paraId="6940F5AD" w14:textId="77777777" w:rsidR="00675C9B" w:rsidRPr="00805854" w:rsidRDefault="006E1FBA" w:rsidP="00D4413D">
      <w:pPr>
        <w:numPr>
          <w:ilvl w:val="0"/>
          <w:numId w:val="9"/>
        </w:numPr>
        <w:ind w:left="567" w:hanging="567"/>
        <w:jc w:val="both"/>
        <w:rPr>
          <w:rFonts w:eastAsiaTheme="minorEastAsia"/>
          <w:bCs/>
          <w:lang w:eastAsia="zh-CN"/>
        </w:rPr>
      </w:pPr>
      <w:r w:rsidRPr="00805854">
        <w:rPr>
          <w:rFonts w:eastAsiaTheme="minorEastAsia"/>
          <w:bCs/>
          <w:lang w:eastAsia="zh-CN"/>
        </w:rPr>
        <w:t>any other relevant factors.</w:t>
      </w:r>
    </w:p>
    <w:p w14:paraId="7C1DDACA" w14:textId="77777777" w:rsidR="00231972" w:rsidRPr="00805854" w:rsidRDefault="00231972" w:rsidP="00D4413D">
      <w:pPr>
        <w:jc w:val="both"/>
      </w:pPr>
    </w:p>
    <w:p w14:paraId="205F7BA2" w14:textId="77777777" w:rsidR="00AA0CCD" w:rsidRPr="00805854" w:rsidRDefault="00AA0CCD" w:rsidP="00D4413D">
      <w:pPr>
        <w:pStyle w:val="Heading1"/>
        <w:jc w:val="both"/>
      </w:pPr>
      <w:bookmarkStart w:id="7" w:name="_Toc397245894"/>
      <w:r w:rsidRPr="00805854">
        <w:t>Likely legal consequences</w:t>
      </w:r>
      <w:bookmarkEnd w:id="7"/>
    </w:p>
    <w:p w14:paraId="0A16C042" w14:textId="77777777" w:rsidR="009A2D8E" w:rsidRPr="00805854" w:rsidRDefault="009A2D8E" w:rsidP="00D4413D">
      <w:pPr>
        <w:jc w:val="both"/>
      </w:pPr>
    </w:p>
    <w:p w14:paraId="25DA659E" w14:textId="449BA61B" w:rsidR="00AA0CCD" w:rsidRPr="00805854" w:rsidRDefault="00AA0CCD" w:rsidP="00D4413D">
      <w:pPr>
        <w:jc w:val="both"/>
      </w:pPr>
      <w:r w:rsidRPr="00805854">
        <w:t>As discussed above, the</w:t>
      </w:r>
      <w:r w:rsidR="0068605C" w:rsidRPr="00805854">
        <w:t xml:space="preserve"> current</w:t>
      </w:r>
      <w:r w:rsidRPr="00805854">
        <w:t xml:space="preserve"> </w:t>
      </w:r>
      <w:r w:rsidR="0068605C" w:rsidRPr="00805854">
        <w:t xml:space="preserve">authorisation </w:t>
      </w:r>
      <w:r w:rsidRPr="00805854">
        <w:t>law is flexibly applied on a case by case basis</w:t>
      </w:r>
      <w:r w:rsidR="009A2D8E" w:rsidRPr="00805854">
        <w:t>. However</w:t>
      </w:r>
      <w:r w:rsidRPr="00805854">
        <w:t xml:space="preserve">, a core principle can be distilled from a century of case law (as codified): the more intimately involved the defendant is </w:t>
      </w:r>
      <w:r w:rsidR="00A7244F">
        <w:t>with</w:t>
      </w:r>
      <w:r w:rsidR="00A7244F" w:rsidRPr="00805854">
        <w:t xml:space="preserve"> </w:t>
      </w:r>
      <w:r w:rsidRPr="00805854">
        <w:t>the infringement, the less control it need</w:t>
      </w:r>
      <w:r w:rsidR="00A7244F">
        <w:t>s to</w:t>
      </w:r>
      <w:r w:rsidRPr="00805854">
        <w:t xml:space="preserve"> have over </w:t>
      </w:r>
      <w:r w:rsidR="00962F7A">
        <w:t>that infringement</w:t>
      </w:r>
      <w:r w:rsidR="00962F7A" w:rsidRPr="00805854">
        <w:t xml:space="preserve"> </w:t>
      </w:r>
      <w:r w:rsidRPr="00805854">
        <w:t xml:space="preserve">for liability to </w:t>
      </w:r>
      <w:r w:rsidR="00A7244F">
        <w:t>arise</w:t>
      </w:r>
      <w:r w:rsidRPr="00805854">
        <w:t>;</w:t>
      </w:r>
      <w:r w:rsidR="00F81885">
        <w:t xml:space="preserve"> </w:t>
      </w:r>
      <w:r w:rsidRPr="00805854">
        <w:t>the more control</w:t>
      </w:r>
      <w:r w:rsidR="00072111">
        <w:t xml:space="preserve">, </w:t>
      </w:r>
      <w:r w:rsidRPr="00805854">
        <w:t xml:space="preserve">the less intimately involved </w:t>
      </w:r>
      <w:r w:rsidR="00FC1821">
        <w:t>it</w:t>
      </w:r>
      <w:r w:rsidR="00962F7A" w:rsidRPr="00805854">
        <w:t xml:space="preserve"> </w:t>
      </w:r>
      <w:r w:rsidRPr="00805854">
        <w:t>need</w:t>
      </w:r>
      <w:r w:rsidR="00962F7A">
        <w:t>s</w:t>
      </w:r>
      <w:r w:rsidRPr="00805854">
        <w:t xml:space="preserve"> to be</w:t>
      </w:r>
      <w:r w:rsidR="00B37F2C">
        <w:t xml:space="preserve">. </w:t>
      </w:r>
      <w:r w:rsidR="0068605C" w:rsidRPr="00805854">
        <w:t xml:space="preserve">This is the key balancing </w:t>
      </w:r>
      <w:r w:rsidR="00F81885">
        <w:t>exercise</w:t>
      </w:r>
      <w:r w:rsidR="00F81885" w:rsidRPr="00805854">
        <w:t xml:space="preserve"> </w:t>
      </w:r>
      <w:r w:rsidR="0068605C" w:rsidRPr="00805854">
        <w:t xml:space="preserve">that courts engage in to determine </w:t>
      </w:r>
      <w:r w:rsidR="0030297D" w:rsidRPr="00805854">
        <w:t xml:space="preserve">what steps are reasonable in all the circumstances, whether they have been taken, and from there, to determine whether the </w:t>
      </w:r>
      <w:r w:rsidR="0068605C" w:rsidRPr="00805854">
        <w:t>defendants have sufficient proximity to the loss to justify holding them liable for the actions of others.</w:t>
      </w:r>
    </w:p>
    <w:p w14:paraId="4679165F" w14:textId="77777777" w:rsidR="008935E0" w:rsidRPr="00805854" w:rsidRDefault="00AA0CCD" w:rsidP="00D4413D">
      <w:pPr>
        <w:jc w:val="both"/>
      </w:pPr>
      <w:r w:rsidRPr="00805854">
        <w:t xml:space="preserve">The proposed framework has the potential to drastically </w:t>
      </w:r>
      <w:r w:rsidR="0068605C" w:rsidRPr="00805854">
        <w:t>alter</w:t>
      </w:r>
      <w:r w:rsidRPr="00805854">
        <w:t xml:space="preserve"> w</w:t>
      </w:r>
      <w:r w:rsidR="0068605C" w:rsidRPr="00805854">
        <w:t xml:space="preserve">here that </w:t>
      </w:r>
      <w:r w:rsidRPr="00805854">
        <w:t>line is drawn</w:t>
      </w:r>
      <w:r w:rsidR="008935E0" w:rsidRPr="00805854">
        <w:t xml:space="preserve"> </w:t>
      </w:r>
      <w:r w:rsidR="005C6221" w:rsidRPr="00805854">
        <w:t>by:</w:t>
      </w:r>
    </w:p>
    <w:p w14:paraId="2E5C084A" w14:textId="4023156E" w:rsidR="008935E0" w:rsidRPr="00805854" w:rsidRDefault="00F81885" w:rsidP="00D4413D">
      <w:pPr>
        <w:numPr>
          <w:ilvl w:val="0"/>
          <w:numId w:val="25"/>
        </w:numPr>
        <w:ind w:left="567" w:hanging="567"/>
        <w:jc w:val="both"/>
      </w:pPr>
      <w:r>
        <w:rPr>
          <w:rFonts w:eastAsiaTheme="minorEastAsia"/>
          <w:bCs/>
          <w:lang w:eastAsia="zh-CN"/>
        </w:rPr>
        <w:t>d</w:t>
      </w:r>
      <w:r w:rsidRPr="00F81885">
        <w:rPr>
          <w:rFonts w:eastAsiaTheme="minorEastAsia"/>
          <w:bCs/>
          <w:lang w:eastAsia="zh-CN"/>
        </w:rPr>
        <w:t>owngrading</w:t>
      </w:r>
      <w:r w:rsidRPr="00805854">
        <w:t xml:space="preserve"> </w:t>
      </w:r>
      <w:r w:rsidR="008935E0" w:rsidRPr="00805854">
        <w:t xml:space="preserve">the significance of a defendant’s power to prevent the third party infringement; and </w:t>
      </w:r>
    </w:p>
    <w:p w14:paraId="1BB6C731" w14:textId="68D1F627" w:rsidR="008935E0" w:rsidRPr="00805854" w:rsidRDefault="00F81885" w:rsidP="00D4413D">
      <w:pPr>
        <w:numPr>
          <w:ilvl w:val="0"/>
          <w:numId w:val="25"/>
        </w:numPr>
        <w:ind w:left="567" w:hanging="567"/>
        <w:jc w:val="both"/>
      </w:pPr>
      <w:r>
        <w:lastRenderedPageBreak/>
        <w:t>i</w:t>
      </w:r>
      <w:r w:rsidR="007E1A64" w:rsidRPr="00805854">
        <w:t>mposing new limits on</w:t>
      </w:r>
      <w:r w:rsidR="008935E0" w:rsidRPr="00805854">
        <w:t xml:space="preserve"> the courts</w:t>
      </w:r>
      <w:r>
        <w:t>’ discretion</w:t>
      </w:r>
      <w:r w:rsidR="008935E0" w:rsidRPr="00805854">
        <w:t xml:space="preserve"> to determine what</w:t>
      </w:r>
      <w:r>
        <w:t xml:space="preserve"> steps</w:t>
      </w:r>
      <w:r w:rsidR="008935E0" w:rsidRPr="00805854">
        <w:t xml:space="preserve"> amount to ‘reasonable steps to prevent </w:t>
      </w:r>
      <w:r w:rsidR="008935E0" w:rsidRPr="00F81885">
        <w:rPr>
          <w:rFonts w:eastAsiaTheme="minorEastAsia"/>
          <w:bCs/>
          <w:lang w:eastAsia="zh-CN"/>
        </w:rPr>
        <w:t>infringement’</w:t>
      </w:r>
      <w:r w:rsidR="008935E0" w:rsidRPr="00805854">
        <w:t xml:space="preserve"> on the facts</w:t>
      </w:r>
      <w:r>
        <w:t xml:space="preserve"> and circumstances</w:t>
      </w:r>
      <w:r w:rsidR="008935E0" w:rsidRPr="00805854">
        <w:t xml:space="preserve"> of each case.</w:t>
      </w:r>
    </w:p>
    <w:p w14:paraId="190F80B7" w14:textId="77777777" w:rsidR="0068605C" w:rsidRPr="00805854" w:rsidRDefault="008935E0" w:rsidP="00D4413D">
      <w:pPr>
        <w:pStyle w:val="Heading3"/>
        <w:spacing w:after="240"/>
        <w:jc w:val="both"/>
      </w:pPr>
      <w:bookmarkStart w:id="8" w:name="_Toc397245895"/>
      <w:r w:rsidRPr="00805854">
        <w:t>Downgrading the significance of a defendant’s power to prevent the third party infringement</w:t>
      </w:r>
      <w:bookmarkEnd w:id="8"/>
    </w:p>
    <w:p w14:paraId="02C9AFC5" w14:textId="4369D858" w:rsidR="007E1A64" w:rsidRPr="00805854" w:rsidRDefault="008935E0" w:rsidP="00D4413D">
      <w:pPr>
        <w:jc w:val="both"/>
      </w:pPr>
      <w:r w:rsidRPr="00805854">
        <w:t>T</w:t>
      </w:r>
      <w:r w:rsidR="0028286E">
        <w:t xml:space="preserve">he </w:t>
      </w:r>
      <w:r w:rsidR="00073B1E">
        <w:t xml:space="preserve">Government’s </w:t>
      </w:r>
      <w:r w:rsidR="0028286E">
        <w:t>proposal clearly intends to down</w:t>
      </w:r>
      <w:r w:rsidR="0030297D" w:rsidRPr="00805854">
        <w:t>grade the significance of a defendant’s power to prevent third party infringement.</w:t>
      </w:r>
    </w:p>
    <w:p w14:paraId="0E68D064" w14:textId="6D903D28" w:rsidR="005741A2" w:rsidRPr="00805854" w:rsidRDefault="007E1A64" w:rsidP="00D4413D">
      <w:pPr>
        <w:jc w:val="both"/>
      </w:pPr>
      <w:r w:rsidRPr="00805854">
        <w:t>The Discussion Paper states that the change</w:t>
      </w:r>
      <w:r w:rsidR="00073B1E">
        <w:t>s</w:t>
      </w:r>
      <w:r w:rsidRPr="00805854">
        <w:t xml:space="preserve"> </w:t>
      </w:r>
      <w:r w:rsidR="00073B1E">
        <w:t>are</w:t>
      </w:r>
      <w:r w:rsidR="00073B1E" w:rsidRPr="00805854">
        <w:t xml:space="preserve"> </w:t>
      </w:r>
      <w:r w:rsidRPr="00805854">
        <w:t>motivated by a desire to ensure that the law can provide for liability even in the absence of ‘a direct power to prevent a person from doing a particular infringing act’.</w:t>
      </w:r>
      <w:r w:rsidRPr="00805854">
        <w:rPr>
          <w:vertAlign w:val="superscript"/>
        </w:rPr>
        <w:footnoteReference w:id="40"/>
      </w:r>
      <w:r w:rsidRPr="00805854">
        <w:t xml:space="preserve"> </w:t>
      </w:r>
      <w:r w:rsidR="000C77C8">
        <w:t xml:space="preserve">This suggests a misapprehension of the existing law: </w:t>
      </w:r>
      <w:r w:rsidRPr="00805854">
        <w:t xml:space="preserve">as discussed above in the context of </w:t>
      </w:r>
      <w:r w:rsidR="00AA1776" w:rsidRPr="00805854">
        <w:t xml:space="preserve">the </w:t>
      </w:r>
      <w:r w:rsidRPr="00805854">
        <w:rPr>
          <w:i/>
          <w:iCs/>
        </w:rPr>
        <w:t>Sharman</w:t>
      </w:r>
      <w:r w:rsidR="00AA1776" w:rsidRPr="00805854">
        <w:rPr>
          <w:i/>
          <w:iCs/>
        </w:rPr>
        <w:t xml:space="preserve"> </w:t>
      </w:r>
      <w:r w:rsidR="00A403F4" w:rsidRPr="00805854">
        <w:rPr>
          <w:iCs/>
        </w:rPr>
        <w:t>case</w:t>
      </w:r>
      <w:r w:rsidR="005C6221" w:rsidRPr="00805854">
        <w:rPr>
          <w:iCs/>
        </w:rPr>
        <w:t xml:space="preserve"> in particular</w:t>
      </w:r>
      <w:r w:rsidRPr="00805854">
        <w:t xml:space="preserve">, defendants with only attenuated and indirect powers to prevent their users’ infringements </w:t>
      </w:r>
      <w:r w:rsidR="000C77C8">
        <w:t xml:space="preserve">can indeed be </w:t>
      </w:r>
      <w:r w:rsidRPr="00805854">
        <w:t xml:space="preserve">liable </w:t>
      </w:r>
      <w:r w:rsidR="000C77C8">
        <w:t>for authorisation</w:t>
      </w:r>
      <w:r w:rsidRPr="00805854">
        <w:t xml:space="preserve">. </w:t>
      </w:r>
      <w:r w:rsidRPr="00FD1645">
        <w:t>The</w:t>
      </w:r>
      <w:r w:rsidRPr="00805854">
        <w:t xml:space="preserve"> High Court’s decision in </w:t>
      </w:r>
      <w:r w:rsidRPr="00805854">
        <w:rPr>
          <w:i/>
        </w:rPr>
        <w:t>iiNet</w:t>
      </w:r>
      <w:r w:rsidRPr="00805854">
        <w:t xml:space="preserve"> did nothing to suggest this would not </w:t>
      </w:r>
      <w:r w:rsidR="00FD1645">
        <w:t>continue to</w:t>
      </w:r>
      <w:r w:rsidR="00FD1645" w:rsidRPr="00805854">
        <w:t xml:space="preserve"> </w:t>
      </w:r>
      <w:r w:rsidRPr="00805854">
        <w:t xml:space="preserve">be the case </w:t>
      </w:r>
      <w:r w:rsidR="00FD1645">
        <w:t>in</w:t>
      </w:r>
      <w:r w:rsidR="00FD1645" w:rsidRPr="00805854">
        <w:t xml:space="preserve"> </w:t>
      </w:r>
      <w:r w:rsidRPr="00805854">
        <w:t xml:space="preserve">appropriate </w:t>
      </w:r>
      <w:r w:rsidR="00FD1645">
        <w:t>circumstances</w:t>
      </w:r>
      <w:r w:rsidR="000C77C8">
        <w:t>; it</w:t>
      </w:r>
      <w:r w:rsidR="00A403F4" w:rsidRPr="00805854">
        <w:t xml:space="preserve"> simply </w:t>
      </w:r>
      <w:r w:rsidR="000C77C8">
        <w:t>found</w:t>
      </w:r>
      <w:r w:rsidR="00A403F4" w:rsidRPr="00805854">
        <w:t xml:space="preserve"> that the threshold </w:t>
      </w:r>
      <w:r w:rsidR="000C77C8">
        <w:t>had</w:t>
      </w:r>
      <w:r w:rsidR="00A403F4" w:rsidRPr="00805854">
        <w:t xml:space="preserve"> not</w:t>
      </w:r>
      <w:r w:rsidR="000C77C8">
        <w:t xml:space="preserve"> been</w:t>
      </w:r>
      <w:r w:rsidR="00A403F4" w:rsidRPr="00805854">
        <w:t xml:space="preserve"> reached on that occasion</w:t>
      </w:r>
      <w:r w:rsidRPr="00805854">
        <w:t>.</w:t>
      </w:r>
      <w:r w:rsidRPr="00805854">
        <w:rPr>
          <w:rStyle w:val="FootnoteReference"/>
        </w:rPr>
        <w:footnoteReference w:id="41"/>
      </w:r>
      <w:r w:rsidR="005741A2" w:rsidRPr="00805854">
        <w:t xml:space="preserve"> </w:t>
      </w:r>
    </w:p>
    <w:p w14:paraId="660F4C2B" w14:textId="06CCA991" w:rsidR="008935E0" w:rsidRPr="00805854" w:rsidRDefault="008618B9" w:rsidP="00D4413D">
      <w:pPr>
        <w:jc w:val="both"/>
      </w:pPr>
      <w:r>
        <w:t xml:space="preserve">In any event, this aspect of the proposal </w:t>
      </w:r>
      <w:r w:rsidR="004E7834">
        <w:t>could potentially</w:t>
      </w:r>
      <w:r>
        <w:t xml:space="preserve"> </w:t>
      </w:r>
      <w:r w:rsidR="004E7834">
        <w:t>do nothing to change the outcomes of cases</w:t>
      </w:r>
      <w:r>
        <w:t>. C</w:t>
      </w:r>
      <w:r w:rsidRPr="00805854">
        <w:t xml:space="preserve">ourts have always taken into account all relevant factors (including any power to prevent) in determining what amounts to reasonable steps in any given scenario. </w:t>
      </w:r>
      <w:r w:rsidR="004E7834">
        <w:t>For that reason</w:t>
      </w:r>
      <w:r w:rsidRPr="00805854">
        <w:t>,</w:t>
      </w:r>
      <w:r>
        <w:t xml:space="preserve"> they may</w:t>
      </w:r>
      <w:r w:rsidRPr="00805854">
        <w:t xml:space="preserve"> not accept that </w:t>
      </w:r>
      <w:r w:rsidR="004E7834">
        <w:t>relocating this factor to the reasonable steps analysis</w:t>
      </w:r>
      <w:r>
        <w:t xml:space="preserve"> changes their analyses</w:t>
      </w:r>
      <w:r w:rsidR="004E7834">
        <w:t xml:space="preserve"> in any substantive way</w:t>
      </w:r>
      <w:r>
        <w:t>.</w:t>
      </w:r>
      <w:r w:rsidRPr="00805854" w:rsidDel="008618B9">
        <w:t xml:space="preserve"> </w:t>
      </w:r>
      <w:r>
        <w:t xml:space="preserve">However, in the context </w:t>
      </w:r>
      <w:r w:rsidR="005741A2" w:rsidRPr="00805854">
        <w:t>of the legislature’s stated intent of expanding the doctrine,</w:t>
      </w:r>
      <w:r>
        <w:t xml:space="preserve"> the amendment </w:t>
      </w:r>
      <w:r w:rsidR="004F32D3">
        <w:t>is likely to</w:t>
      </w:r>
      <w:r>
        <w:t xml:space="preserve"> signal </w:t>
      </w:r>
      <w:r w:rsidR="00C133EA">
        <w:t xml:space="preserve">to </w:t>
      </w:r>
      <w:r>
        <w:t xml:space="preserve">courts that </w:t>
      </w:r>
      <w:r w:rsidR="005741A2" w:rsidRPr="00805854">
        <w:rPr>
          <w:i/>
        </w:rPr>
        <w:t>Moorhouse</w:t>
      </w:r>
      <w:r w:rsidR="005741A2" w:rsidRPr="00805854">
        <w:t xml:space="preserve"> is no longer good law</w:t>
      </w:r>
      <w:r w:rsidR="001B582A" w:rsidRPr="00805854">
        <w:t xml:space="preserve">. </w:t>
      </w:r>
      <w:r w:rsidR="004F32D3">
        <w:t xml:space="preserve">To give effect to the new threshold of liability, courts would be obliged to </w:t>
      </w:r>
      <w:r w:rsidR="007E1A64" w:rsidRPr="00805854">
        <w:t xml:space="preserve">give less weight to a defendant’s power to prevent the infringement than </w:t>
      </w:r>
      <w:r w:rsidR="005741A2" w:rsidRPr="00805854">
        <w:t xml:space="preserve">is </w:t>
      </w:r>
      <w:r w:rsidR="007E1A64" w:rsidRPr="00805854">
        <w:t>currently</w:t>
      </w:r>
      <w:r w:rsidR="005741A2" w:rsidRPr="00805854">
        <w:t xml:space="preserve"> the case</w:t>
      </w:r>
      <w:r w:rsidR="004F32D3">
        <w:t>. T</w:t>
      </w:r>
      <w:r w:rsidR="005741A2" w:rsidRPr="00805854">
        <w:t xml:space="preserve">he corollaries </w:t>
      </w:r>
      <w:r w:rsidR="001B582A" w:rsidRPr="00805854">
        <w:t xml:space="preserve">would be </w:t>
      </w:r>
      <w:r w:rsidR="007E1A64" w:rsidRPr="00805854">
        <w:t xml:space="preserve">that service providers would have </w:t>
      </w:r>
      <w:r w:rsidR="00A403F4" w:rsidRPr="00805854">
        <w:t>more positive duties</w:t>
      </w:r>
      <w:r w:rsidR="007E1A64" w:rsidRPr="00805854">
        <w:t xml:space="preserve"> to act to limit infringement, and</w:t>
      </w:r>
      <w:r w:rsidR="006F1629">
        <w:t xml:space="preserve"> that</w:t>
      </w:r>
      <w:r w:rsidR="00A403F4" w:rsidRPr="00805854">
        <w:t xml:space="preserve"> </w:t>
      </w:r>
      <w:r w:rsidR="007E1A64" w:rsidRPr="00805854">
        <w:t>right</w:t>
      </w:r>
      <w:r w:rsidR="00EA3F07">
        <w:t xml:space="preserve">s </w:t>
      </w:r>
      <w:r w:rsidR="007E1A64" w:rsidRPr="00805854">
        <w:t xml:space="preserve">holders would be in a much stronger bargaining power to demand </w:t>
      </w:r>
      <w:r w:rsidR="00C133EA">
        <w:t>that service providers</w:t>
      </w:r>
      <w:r w:rsidR="00C133EA" w:rsidRPr="00805854">
        <w:t xml:space="preserve"> </w:t>
      </w:r>
      <w:r w:rsidR="007E1A64" w:rsidRPr="00805854">
        <w:t xml:space="preserve">take steps to limit infringement. </w:t>
      </w:r>
      <w:r w:rsidR="00886402">
        <w:t xml:space="preserve">Courts may even interpret </w:t>
      </w:r>
      <w:r w:rsidR="004F32D3">
        <w:t>the amended law as imposing obligation</w:t>
      </w:r>
      <w:r w:rsidR="004E7834">
        <w:t>s</w:t>
      </w:r>
      <w:r w:rsidR="004F32D3">
        <w:t xml:space="preserve"> to take </w:t>
      </w:r>
      <w:r w:rsidR="00886402">
        <w:t xml:space="preserve">proactive </w:t>
      </w:r>
      <w:r w:rsidR="004F32D3">
        <w:t xml:space="preserve">steps to </w:t>
      </w:r>
      <w:r w:rsidR="00886402">
        <w:t>limit</w:t>
      </w:r>
      <w:r w:rsidR="004F32D3">
        <w:t xml:space="preserve"> infringement whenever there is some relationship between the intermediary and infringer</w:t>
      </w:r>
      <w:r w:rsidR="00886402">
        <w:t>. If so</w:t>
      </w:r>
      <w:r w:rsidR="004F32D3">
        <w:t xml:space="preserve">, the </w:t>
      </w:r>
      <w:r w:rsidR="007E1A64" w:rsidRPr="00805854">
        <w:t>practi</w:t>
      </w:r>
      <w:r w:rsidR="004B4E92" w:rsidRPr="00805854">
        <w:t xml:space="preserve">cal implications </w:t>
      </w:r>
      <w:r w:rsidR="004F32D3">
        <w:t xml:space="preserve">for </w:t>
      </w:r>
      <w:r w:rsidR="007E1A64" w:rsidRPr="00805854">
        <w:t xml:space="preserve">Australian intermediaries </w:t>
      </w:r>
      <w:r w:rsidR="004F32D3">
        <w:t xml:space="preserve">would be extremely broad. </w:t>
      </w:r>
    </w:p>
    <w:p w14:paraId="73E9F52B" w14:textId="77777777" w:rsidR="007E1A64" w:rsidRPr="00805854" w:rsidRDefault="007E1A64" w:rsidP="00D4413D">
      <w:pPr>
        <w:pStyle w:val="Heading3"/>
        <w:jc w:val="both"/>
      </w:pPr>
    </w:p>
    <w:p w14:paraId="716F73DF" w14:textId="7EB4F056" w:rsidR="008935E0" w:rsidRPr="00805854" w:rsidRDefault="008935E0" w:rsidP="00D4413D">
      <w:pPr>
        <w:pStyle w:val="Heading3"/>
        <w:spacing w:after="240"/>
        <w:jc w:val="both"/>
      </w:pPr>
      <w:bookmarkStart w:id="9" w:name="_Toc397245896"/>
      <w:r w:rsidRPr="00805854">
        <w:t>Limiting the courts</w:t>
      </w:r>
      <w:r w:rsidR="00B01CD4">
        <w:t>’ discretion</w:t>
      </w:r>
      <w:r w:rsidRPr="00805854">
        <w:t xml:space="preserve"> to determine what amounts to ‘reasonable steps’ on the facts of each case</w:t>
      </w:r>
      <w:bookmarkEnd w:id="9"/>
    </w:p>
    <w:p w14:paraId="006525F6" w14:textId="7942510C" w:rsidR="007E1A64" w:rsidRPr="00805854" w:rsidRDefault="00972F78" w:rsidP="00D4413D">
      <w:pPr>
        <w:jc w:val="both"/>
        <w:rPr>
          <w:rFonts w:eastAsiaTheme="minorEastAsia"/>
          <w:bCs/>
          <w:lang w:eastAsia="zh-CN"/>
        </w:rPr>
      </w:pPr>
      <w:r>
        <w:rPr>
          <w:rFonts w:eastAsiaTheme="minorEastAsia"/>
          <w:bCs/>
          <w:lang w:eastAsia="zh-CN"/>
        </w:rPr>
        <w:t xml:space="preserve">Requiring courts to take into account voluntary commercial arrangements and/or prescribed measures in determining what </w:t>
      </w:r>
      <w:r w:rsidR="00C133EA">
        <w:rPr>
          <w:rFonts w:eastAsiaTheme="minorEastAsia"/>
          <w:bCs/>
          <w:lang w:eastAsia="zh-CN"/>
        </w:rPr>
        <w:t xml:space="preserve">amounts </w:t>
      </w:r>
      <w:r>
        <w:rPr>
          <w:rFonts w:eastAsiaTheme="minorEastAsia"/>
          <w:bCs/>
          <w:lang w:eastAsia="zh-CN"/>
        </w:rPr>
        <w:t xml:space="preserve">to reasonable steps in any given scenario </w:t>
      </w:r>
      <w:r w:rsidR="007E1A64" w:rsidRPr="00805854">
        <w:rPr>
          <w:rFonts w:eastAsiaTheme="minorEastAsia"/>
          <w:bCs/>
          <w:lang w:eastAsia="zh-CN"/>
        </w:rPr>
        <w:t xml:space="preserve">would significantly change the nature of the doctrine. Under the existing law, </w:t>
      </w:r>
      <w:r>
        <w:rPr>
          <w:rFonts w:eastAsiaTheme="minorEastAsia"/>
          <w:bCs/>
          <w:lang w:eastAsia="zh-CN"/>
        </w:rPr>
        <w:t xml:space="preserve">that determination is made </w:t>
      </w:r>
      <w:r w:rsidR="007E1A64" w:rsidRPr="00805854">
        <w:rPr>
          <w:rFonts w:eastAsiaTheme="minorEastAsia"/>
          <w:bCs/>
          <w:lang w:eastAsia="zh-CN"/>
        </w:rPr>
        <w:t xml:space="preserve">with reference to </w:t>
      </w:r>
      <w:r w:rsidR="005F25AB">
        <w:rPr>
          <w:rFonts w:eastAsiaTheme="minorEastAsia"/>
          <w:bCs/>
          <w:lang w:eastAsia="zh-CN"/>
        </w:rPr>
        <w:t xml:space="preserve">all the circumstances of each case. </w:t>
      </w:r>
      <w:r w:rsidR="007E1A64" w:rsidRPr="00805854">
        <w:rPr>
          <w:rFonts w:eastAsiaTheme="minorEastAsia"/>
          <w:bCs/>
          <w:lang w:eastAsia="zh-CN"/>
        </w:rPr>
        <w:t>What is reasonable in one fact scenario may not be in another. Equally, what would have been reasonable can be negated by specific facts suggesting otherwise.</w:t>
      </w:r>
      <w:r w:rsidR="007E1A64" w:rsidRPr="00805854">
        <w:rPr>
          <w:rStyle w:val="FootnoteReference"/>
          <w:rFonts w:eastAsiaTheme="minorEastAsia"/>
          <w:bCs/>
          <w:lang w:eastAsia="zh-CN"/>
        </w:rPr>
        <w:footnoteReference w:id="42"/>
      </w:r>
      <w:r w:rsidR="007E1A64" w:rsidRPr="00805854">
        <w:rPr>
          <w:rFonts w:eastAsiaTheme="minorEastAsia"/>
          <w:bCs/>
          <w:lang w:eastAsia="zh-CN"/>
        </w:rPr>
        <w:t xml:space="preserve"> The importance of the full factual matrix can be illustrated by the application of the law to </w:t>
      </w:r>
      <w:r w:rsidR="003E2116">
        <w:rPr>
          <w:rFonts w:eastAsiaTheme="minorEastAsia"/>
          <w:bCs/>
          <w:lang w:eastAsia="zh-CN"/>
        </w:rPr>
        <w:t xml:space="preserve">the </w:t>
      </w:r>
      <w:r w:rsidR="007E1A64" w:rsidRPr="00805854">
        <w:rPr>
          <w:rFonts w:eastAsiaTheme="minorEastAsia"/>
          <w:bCs/>
          <w:lang w:eastAsia="zh-CN"/>
        </w:rPr>
        <w:t>Australian ISP iiNet, which right</w:t>
      </w:r>
      <w:r w:rsidR="00EA3F07">
        <w:rPr>
          <w:rFonts w:eastAsiaTheme="minorEastAsia"/>
          <w:bCs/>
          <w:lang w:eastAsia="zh-CN"/>
        </w:rPr>
        <w:t xml:space="preserve">s </w:t>
      </w:r>
      <w:r w:rsidR="007E1A64" w:rsidRPr="00805854">
        <w:rPr>
          <w:rFonts w:eastAsiaTheme="minorEastAsia"/>
          <w:bCs/>
          <w:lang w:eastAsia="zh-CN"/>
        </w:rPr>
        <w:t xml:space="preserve">holders had accused of authorising infringement by virtue of its failure to pass on infringement allegations to users and impose sanctions. </w:t>
      </w:r>
      <w:r w:rsidR="00A403F4" w:rsidRPr="00805854">
        <w:rPr>
          <w:rFonts w:eastAsiaTheme="minorEastAsia"/>
          <w:bCs/>
          <w:lang w:eastAsia="zh-CN"/>
        </w:rPr>
        <w:t>F</w:t>
      </w:r>
      <w:r w:rsidR="007E1A64" w:rsidRPr="00805854">
        <w:rPr>
          <w:rFonts w:eastAsiaTheme="minorEastAsia"/>
          <w:bCs/>
          <w:lang w:eastAsia="zh-CN"/>
        </w:rPr>
        <w:t>actors that influenced the High Court to find that iiNet had not authorised its users</w:t>
      </w:r>
      <w:r w:rsidR="0030297D" w:rsidRPr="00805854">
        <w:rPr>
          <w:rFonts w:eastAsiaTheme="minorEastAsia"/>
          <w:bCs/>
          <w:lang w:eastAsia="zh-CN"/>
        </w:rPr>
        <w:t>’</w:t>
      </w:r>
      <w:r w:rsidR="007E1A64" w:rsidRPr="00805854">
        <w:rPr>
          <w:rFonts w:eastAsiaTheme="minorEastAsia"/>
          <w:bCs/>
          <w:lang w:eastAsia="zh-CN"/>
        </w:rPr>
        <w:t xml:space="preserve"> infringements included the unsubstantiated nature of the allegations, the failure of the plaintiffs to fully disclose their detection methods, </w:t>
      </w:r>
      <w:r w:rsidR="004A1227">
        <w:rPr>
          <w:rFonts w:eastAsiaTheme="minorEastAsia"/>
          <w:bCs/>
          <w:lang w:eastAsia="zh-CN"/>
        </w:rPr>
        <w:t>iiNet’s</w:t>
      </w:r>
      <w:r w:rsidR="004A1227" w:rsidRPr="00805854">
        <w:rPr>
          <w:rFonts w:eastAsiaTheme="minorEastAsia"/>
          <w:bCs/>
          <w:lang w:eastAsia="zh-CN"/>
        </w:rPr>
        <w:t xml:space="preserve"> </w:t>
      </w:r>
      <w:r w:rsidR="007E1A64" w:rsidRPr="00805854">
        <w:rPr>
          <w:rFonts w:eastAsiaTheme="minorEastAsia"/>
          <w:bCs/>
          <w:lang w:eastAsia="zh-CN"/>
        </w:rPr>
        <w:t xml:space="preserve">risk of liability to customers if </w:t>
      </w:r>
      <w:r w:rsidR="004A1227" w:rsidRPr="00805854">
        <w:rPr>
          <w:rFonts w:eastAsiaTheme="minorEastAsia"/>
          <w:bCs/>
          <w:lang w:eastAsia="zh-CN"/>
        </w:rPr>
        <w:t>the</w:t>
      </w:r>
      <w:r w:rsidR="004A1227">
        <w:rPr>
          <w:rFonts w:eastAsiaTheme="minorEastAsia"/>
          <w:bCs/>
          <w:lang w:eastAsia="zh-CN"/>
        </w:rPr>
        <w:t xml:space="preserve"> allegations</w:t>
      </w:r>
      <w:r w:rsidR="004A1227" w:rsidRPr="00805854">
        <w:rPr>
          <w:rFonts w:eastAsiaTheme="minorEastAsia"/>
          <w:bCs/>
          <w:lang w:eastAsia="zh-CN"/>
        </w:rPr>
        <w:t xml:space="preserve"> </w:t>
      </w:r>
      <w:r w:rsidR="007E1A64" w:rsidRPr="00805854">
        <w:rPr>
          <w:rFonts w:eastAsiaTheme="minorEastAsia"/>
          <w:bCs/>
          <w:lang w:eastAsia="zh-CN"/>
        </w:rPr>
        <w:t>were unfounded, iiNet’s limited technical and contractual powers to prevent the infringements</w:t>
      </w:r>
      <w:r w:rsidR="00D70D12">
        <w:rPr>
          <w:rFonts w:eastAsiaTheme="minorEastAsia"/>
          <w:bCs/>
          <w:lang w:eastAsia="zh-CN"/>
        </w:rPr>
        <w:t xml:space="preserve">, and the fact that termination would entirely </w:t>
      </w:r>
      <w:r w:rsidR="00D70D12">
        <w:rPr>
          <w:rFonts w:eastAsiaTheme="minorEastAsia"/>
          <w:bCs/>
          <w:lang w:eastAsia="zh-CN"/>
        </w:rPr>
        <w:lastRenderedPageBreak/>
        <w:t>prevent all of the subscriber’s non-infringing activities online as well</w:t>
      </w:r>
      <w:r w:rsidR="007E1A64" w:rsidRPr="00805854">
        <w:rPr>
          <w:rFonts w:eastAsiaTheme="minorEastAsia"/>
          <w:bCs/>
          <w:lang w:eastAsia="zh-CN"/>
        </w:rPr>
        <w:t>.</w:t>
      </w:r>
      <w:r w:rsidR="007E1A64" w:rsidRPr="00805854">
        <w:rPr>
          <w:rFonts w:eastAsiaTheme="minorEastAsia"/>
          <w:bCs/>
          <w:vertAlign w:val="superscript"/>
          <w:lang w:eastAsia="zh-CN"/>
        </w:rPr>
        <w:footnoteReference w:id="43"/>
      </w:r>
      <w:r>
        <w:rPr>
          <w:rFonts w:eastAsiaTheme="minorEastAsia"/>
          <w:bCs/>
          <w:lang w:eastAsia="zh-CN"/>
        </w:rPr>
        <w:t xml:space="preserve"> </w:t>
      </w:r>
      <w:r w:rsidR="007E1A64" w:rsidRPr="00805854">
        <w:rPr>
          <w:rFonts w:eastAsiaTheme="minorEastAsia"/>
          <w:bCs/>
          <w:lang w:eastAsia="zh-CN"/>
        </w:rPr>
        <w:t>Had iiNet been more intimately involved in the infringement, perhaps by financially benefiting from it</w:t>
      </w:r>
      <w:r w:rsidR="00E054D3">
        <w:rPr>
          <w:rFonts w:eastAsiaTheme="minorEastAsia"/>
          <w:bCs/>
          <w:lang w:eastAsia="zh-CN"/>
        </w:rPr>
        <w:t xml:space="preserve"> or encouraging </w:t>
      </w:r>
      <w:r w:rsidR="007E1A64" w:rsidRPr="00805854">
        <w:rPr>
          <w:rFonts w:eastAsiaTheme="minorEastAsia"/>
          <w:bCs/>
          <w:lang w:eastAsia="zh-CN"/>
        </w:rPr>
        <w:t xml:space="preserve">it to occur, </w:t>
      </w:r>
      <w:r w:rsidR="00C86311">
        <w:rPr>
          <w:rFonts w:eastAsiaTheme="minorEastAsia"/>
          <w:bCs/>
          <w:lang w:eastAsia="zh-CN"/>
        </w:rPr>
        <w:t>if</w:t>
      </w:r>
      <w:r w:rsidR="007E1A64" w:rsidRPr="00805854">
        <w:rPr>
          <w:rFonts w:eastAsiaTheme="minorEastAsia"/>
          <w:bCs/>
          <w:lang w:eastAsia="zh-CN"/>
        </w:rPr>
        <w:t xml:space="preserve"> the evidence </w:t>
      </w:r>
      <w:r w:rsidR="00DA6797" w:rsidRPr="00805854">
        <w:rPr>
          <w:rFonts w:eastAsiaTheme="minorEastAsia"/>
          <w:bCs/>
          <w:lang w:eastAsia="zh-CN"/>
        </w:rPr>
        <w:t xml:space="preserve">of infringement </w:t>
      </w:r>
      <w:r w:rsidR="007E1A64" w:rsidRPr="00805854">
        <w:rPr>
          <w:rFonts w:eastAsiaTheme="minorEastAsia"/>
          <w:bCs/>
          <w:lang w:eastAsia="zh-CN"/>
        </w:rPr>
        <w:t>had been better substantiated</w:t>
      </w:r>
      <w:r w:rsidR="00D70D12">
        <w:rPr>
          <w:rFonts w:eastAsiaTheme="minorEastAsia"/>
          <w:bCs/>
          <w:lang w:eastAsia="zh-CN"/>
        </w:rPr>
        <w:t xml:space="preserve">, </w:t>
      </w:r>
      <w:r w:rsidR="00E054D3">
        <w:rPr>
          <w:rFonts w:eastAsiaTheme="minorEastAsia"/>
          <w:bCs/>
          <w:lang w:eastAsia="zh-CN"/>
        </w:rPr>
        <w:t xml:space="preserve">or </w:t>
      </w:r>
      <w:r w:rsidR="00D70D12">
        <w:rPr>
          <w:rFonts w:eastAsiaTheme="minorEastAsia"/>
          <w:bCs/>
          <w:lang w:eastAsia="zh-CN"/>
        </w:rPr>
        <w:t xml:space="preserve">if termination could </w:t>
      </w:r>
      <w:r w:rsidR="00E054D3">
        <w:rPr>
          <w:rFonts w:eastAsiaTheme="minorEastAsia"/>
          <w:bCs/>
          <w:lang w:eastAsia="zh-CN"/>
        </w:rPr>
        <w:t xml:space="preserve">have been </w:t>
      </w:r>
      <w:r w:rsidR="00D70D12">
        <w:rPr>
          <w:rFonts w:eastAsiaTheme="minorEastAsia"/>
          <w:bCs/>
          <w:lang w:eastAsia="zh-CN"/>
        </w:rPr>
        <w:t xml:space="preserve">effected in a way that </w:t>
      </w:r>
      <w:r w:rsidR="00A90BFE">
        <w:rPr>
          <w:rFonts w:eastAsiaTheme="minorEastAsia"/>
          <w:bCs/>
          <w:lang w:eastAsia="zh-CN"/>
        </w:rPr>
        <w:t xml:space="preserve">did not </w:t>
      </w:r>
      <w:r w:rsidR="00C86311">
        <w:rPr>
          <w:rFonts w:eastAsiaTheme="minorEastAsia"/>
          <w:bCs/>
          <w:lang w:eastAsia="zh-CN"/>
        </w:rPr>
        <w:t>put an end to</w:t>
      </w:r>
      <w:r w:rsidR="00A90BFE">
        <w:rPr>
          <w:rFonts w:eastAsiaTheme="minorEastAsia"/>
          <w:bCs/>
          <w:lang w:eastAsia="zh-CN"/>
        </w:rPr>
        <w:t xml:space="preserve"> non-infringing </w:t>
      </w:r>
      <w:r w:rsidR="00FC1821">
        <w:rPr>
          <w:rFonts w:eastAsiaTheme="minorEastAsia"/>
          <w:bCs/>
          <w:lang w:eastAsia="zh-CN"/>
        </w:rPr>
        <w:t>use</w:t>
      </w:r>
      <w:r w:rsidR="007E1A64" w:rsidRPr="00805854">
        <w:rPr>
          <w:rFonts w:eastAsiaTheme="minorEastAsia"/>
          <w:bCs/>
          <w:lang w:eastAsia="zh-CN"/>
        </w:rPr>
        <w:t xml:space="preserve">, then the court’s analysis of what would have amounted to reasonable steps </w:t>
      </w:r>
      <w:r w:rsidR="007E1A64" w:rsidRPr="00805854">
        <w:rPr>
          <w:rFonts w:eastAsiaTheme="minorEastAsia"/>
          <w:bCs/>
          <w:i/>
          <w:iCs/>
          <w:lang w:eastAsia="zh-CN"/>
        </w:rPr>
        <w:t>in those circumstances</w:t>
      </w:r>
      <w:r w:rsidR="007E1A64" w:rsidRPr="00805854">
        <w:rPr>
          <w:rFonts w:eastAsiaTheme="minorEastAsia"/>
          <w:bCs/>
          <w:lang w:eastAsia="zh-CN"/>
        </w:rPr>
        <w:t xml:space="preserve"> would have been different. </w:t>
      </w:r>
      <w:r w:rsidR="009A009C" w:rsidRPr="00805854">
        <w:rPr>
          <w:rFonts w:eastAsiaTheme="minorEastAsia"/>
          <w:bCs/>
          <w:lang w:eastAsia="zh-CN"/>
        </w:rPr>
        <w:t xml:space="preserve">The current law gives courts </w:t>
      </w:r>
      <w:r w:rsidR="00B01CD4">
        <w:rPr>
          <w:rFonts w:eastAsiaTheme="minorEastAsia"/>
          <w:bCs/>
          <w:lang w:eastAsia="zh-CN"/>
        </w:rPr>
        <w:t>discretion</w:t>
      </w:r>
      <w:r w:rsidR="00B01CD4" w:rsidRPr="00805854">
        <w:rPr>
          <w:rFonts w:eastAsiaTheme="minorEastAsia"/>
          <w:bCs/>
          <w:lang w:eastAsia="zh-CN"/>
        </w:rPr>
        <w:t xml:space="preserve"> </w:t>
      </w:r>
      <w:r w:rsidR="009A009C" w:rsidRPr="00805854">
        <w:rPr>
          <w:rFonts w:eastAsiaTheme="minorEastAsia"/>
          <w:bCs/>
          <w:lang w:eastAsia="zh-CN"/>
        </w:rPr>
        <w:t>to take the totality of these and other relevant circumstances into account in determining whether the threshold to culpability has been reached.</w:t>
      </w:r>
      <w:r w:rsidR="00E054D3">
        <w:rPr>
          <w:rFonts w:eastAsiaTheme="minorEastAsia"/>
          <w:bCs/>
          <w:lang w:eastAsia="zh-CN"/>
        </w:rPr>
        <w:t xml:space="preserve"> That is why it is impossible to provide any meaningful answer</w:t>
      </w:r>
      <w:r w:rsidR="00166CE9">
        <w:rPr>
          <w:rFonts w:eastAsiaTheme="minorEastAsia"/>
          <w:bCs/>
          <w:lang w:eastAsia="zh-CN"/>
        </w:rPr>
        <w:t xml:space="preserve"> to</w:t>
      </w:r>
      <w:r w:rsidR="00E054D3">
        <w:rPr>
          <w:rFonts w:eastAsiaTheme="minorEastAsia"/>
          <w:bCs/>
          <w:lang w:eastAsia="zh-CN"/>
        </w:rPr>
        <w:t xml:space="preserve"> the question</w:t>
      </w:r>
      <w:r w:rsidR="00A57CE5">
        <w:rPr>
          <w:rFonts w:eastAsiaTheme="minorEastAsia"/>
          <w:bCs/>
          <w:lang w:eastAsia="zh-CN"/>
        </w:rPr>
        <w:t xml:space="preserve"> asked by the Government in the Discussion Paper</w:t>
      </w:r>
      <w:r w:rsidR="00E054D3">
        <w:rPr>
          <w:rFonts w:eastAsiaTheme="minorEastAsia"/>
          <w:bCs/>
          <w:lang w:eastAsia="zh-CN"/>
        </w:rPr>
        <w:t xml:space="preserve"> about what </w:t>
      </w:r>
      <w:r w:rsidR="00166CE9">
        <w:rPr>
          <w:rFonts w:eastAsiaTheme="minorEastAsia"/>
          <w:bCs/>
          <w:lang w:eastAsia="zh-CN"/>
        </w:rPr>
        <w:t>constitute</w:t>
      </w:r>
      <w:r w:rsidR="00B01CD4">
        <w:rPr>
          <w:rFonts w:eastAsiaTheme="minorEastAsia"/>
          <w:bCs/>
          <w:lang w:eastAsia="zh-CN"/>
        </w:rPr>
        <w:t>s</w:t>
      </w:r>
      <w:r w:rsidR="00E054D3">
        <w:rPr>
          <w:rFonts w:eastAsiaTheme="minorEastAsia"/>
          <w:bCs/>
          <w:lang w:eastAsia="zh-CN"/>
        </w:rPr>
        <w:t xml:space="preserve"> ‘reasonable steps’</w:t>
      </w:r>
      <w:r w:rsidR="00E054D3">
        <w:rPr>
          <w:rStyle w:val="FootnoteReference"/>
          <w:rFonts w:eastAsiaTheme="minorEastAsia"/>
          <w:bCs/>
          <w:lang w:eastAsia="zh-CN"/>
        </w:rPr>
        <w:footnoteReference w:id="44"/>
      </w:r>
      <w:r w:rsidR="00E054D3">
        <w:rPr>
          <w:rFonts w:eastAsiaTheme="minorEastAsia"/>
          <w:bCs/>
          <w:lang w:eastAsia="zh-CN"/>
        </w:rPr>
        <w:t xml:space="preserve"> – the answer always is, and must be, ‘</w:t>
      </w:r>
      <w:r w:rsidR="00166CE9">
        <w:rPr>
          <w:rFonts w:eastAsiaTheme="minorEastAsia"/>
          <w:bCs/>
          <w:lang w:eastAsia="zh-CN"/>
        </w:rPr>
        <w:t xml:space="preserve"> </w:t>
      </w:r>
      <w:r w:rsidR="00E054D3">
        <w:rPr>
          <w:rFonts w:eastAsiaTheme="minorEastAsia"/>
          <w:bCs/>
          <w:lang w:eastAsia="zh-CN"/>
        </w:rPr>
        <w:t>it depends’</w:t>
      </w:r>
      <w:r w:rsidR="00166CE9">
        <w:rPr>
          <w:rFonts w:eastAsiaTheme="minorEastAsia"/>
          <w:bCs/>
          <w:lang w:eastAsia="zh-CN"/>
        </w:rPr>
        <w:t>.</w:t>
      </w:r>
    </w:p>
    <w:p w14:paraId="13513B52" w14:textId="66F6E6B4" w:rsidR="00E9706C" w:rsidRDefault="007E1A64" w:rsidP="00D4413D">
      <w:pPr>
        <w:jc w:val="both"/>
        <w:rPr>
          <w:rFonts w:eastAsiaTheme="minorEastAsia"/>
          <w:bCs/>
          <w:lang w:eastAsia="zh-CN"/>
        </w:rPr>
      </w:pPr>
      <w:r w:rsidRPr="00805854">
        <w:rPr>
          <w:rFonts w:eastAsiaTheme="minorEastAsia"/>
          <w:bCs/>
          <w:lang w:eastAsia="zh-CN"/>
        </w:rPr>
        <w:t xml:space="preserve">If the </w:t>
      </w:r>
      <w:r w:rsidR="00166CE9">
        <w:rPr>
          <w:rFonts w:eastAsiaTheme="minorEastAsia"/>
          <w:bCs/>
          <w:lang w:eastAsia="zh-CN"/>
        </w:rPr>
        <w:t>G</w:t>
      </w:r>
      <w:r w:rsidR="00166CE9" w:rsidRPr="00805854">
        <w:rPr>
          <w:rFonts w:eastAsiaTheme="minorEastAsia"/>
          <w:bCs/>
          <w:lang w:eastAsia="zh-CN"/>
        </w:rPr>
        <w:t xml:space="preserve">overnment’s </w:t>
      </w:r>
      <w:r w:rsidRPr="00805854">
        <w:rPr>
          <w:rFonts w:eastAsiaTheme="minorEastAsia"/>
          <w:bCs/>
          <w:lang w:eastAsia="zh-CN"/>
        </w:rPr>
        <w:t xml:space="preserve">proposed amendment goes ahead, authorisation’s statutory framework could effectively mandate </w:t>
      </w:r>
      <w:r w:rsidR="00B01CD4">
        <w:rPr>
          <w:rFonts w:eastAsiaTheme="minorEastAsia"/>
          <w:bCs/>
          <w:lang w:eastAsia="zh-CN"/>
        </w:rPr>
        <w:t>positive</w:t>
      </w:r>
      <w:r w:rsidR="00B01CD4" w:rsidRPr="00805854">
        <w:rPr>
          <w:rFonts w:eastAsiaTheme="minorEastAsia"/>
          <w:bCs/>
          <w:lang w:eastAsia="zh-CN"/>
        </w:rPr>
        <w:t xml:space="preserve"> </w:t>
      </w:r>
      <w:r w:rsidRPr="00805854">
        <w:rPr>
          <w:rFonts w:eastAsiaTheme="minorEastAsia"/>
          <w:bCs/>
          <w:lang w:eastAsia="zh-CN"/>
        </w:rPr>
        <w:t>steps</w:t>
      </w:r>
      <w:r w:rsidR="00B01CD4">
        <w:rPr>
          <w:rFonts w:eastAsiaTheme="minorEastAsia"/>
          <w:bCs/>
          <w:lang w:eastAsia="zh-CN"/>
        </w:rPr>
        <w:t xml:space="preserve"> </w:t>
      </w:r>
      <w:r w:rsidR="00FC1821">
        <w:rPr>
          <w:rFonts w:eastAsiaTheme="minorEastAsia"/>
          <w:bCs/>
          <w:lang w:eastAsia="zh-CN"/>
        </w:rPr>
        <w:t xml:space="preserve">that need </w:t>
      </w:r>
      <w:r w:rsidR="00B01CD4">
        <w:rPr>
          <w:rFonts w:eastAsiaTheme="minorEastAsia"/>
          <w:bCs/>
          <w:lang w:eastAsia="zh-CN"/>
        </w:rPr>
        <w:t>to be taken</w:t>
      </w:r>
      <w:r w:rsidR="009A009C" w:rsidRPr="00805854">
        <w:rPr>
          <w:rFonts w:eastAsiaTheme="minorEastAsia"/>
          <w:bCs/>
          <w:lang w:eastAsia="zh-CN"/>
        </w:rPr>
        <w:t xml:space="preserve">. </w:t>
      </w:r>
      <w:r w:rsidRPr="00805854">
        <w:rPr>
          <w:rFonts w:eastAsiaTheme="minorEastAsia"/>
          <w:bCs/>
          <w:lang w:eastAsia="zh-CN"/>
        </w:rPr>
        <w:t xml:space="preserve">While the proposal does not say that failure to </w:t>
      </w:r>
      <w:r w:rsidR="00B01CD4">
        <w:rPr>
          <w:rFonts w:eastAsiaTheme="minorEastAsia"/>
          <w:bCs/>
          <w:lang w:eastAsia="zh-CN"/>
        </w:rPr>
        <w:t>take positive</w:t>
      </w:r>
      <w:r w:rsidRPr="00805854">
        <w:rPr>
          <w:rFonts w:eastAsiaTheme="minorEastAsia"/>
          <w:bCs/>
          <w:lang w:eastAsia="zh-CN"/>
        </w:rPr>
        <w:t xml:space="preserve"> steps would be determinative, the very requirement that courts </w:t>
      </w:r>
      <w:r w:rsidR="00B01CD4">
        <w:rPr>
          <w:rFonts w:eastAsiaTheme="minorEastAsia"/>
          <w:bCs/>
          <w:lang w:eastAsia="zh-CN"/>
        </w:rPr>
        <w:t xml:space="preserve">must </w:t>
      </w:r>
      <w:r w:rsidRPr="00805854">
        <w:rPr>
          <w:rFonts w:eastAsiaTheme="minorEastAsia"/>
          <w:bCs/>
          <w:lang w:eastAsia="zh-CN"/>
        </w:rPr>
        <w:t>take</w:t>
      </w:r>
      <w:r w:rsidR="00166CE9">
        <w:rPr>
          <w:rFonts w:eastAsiaTheme="minorEastAsia"/>
          <w:bCs/>
          <w:lang w:eastAsia="zh-CN"/>
        </w:rPr>
        <w:t xml:space="preserve"> into account</w:t>
      </w:r>
      <w:r w:rsidRPr="00805854">
        <w:rPr>
          <w:rFonts w:eastAsiaTheme="minorEastAsia"/>
          <w:bCs/>
          <w:lang w:eastAsia="zh-CN"/>
        </w:rPr>
        <w:t xml:space="preserve"> </w:t>
      </w:r>
      <w:r w:rsidR="00166CE9">
        <w:rPr>
          <w:rFonts w:eastAsiaTheme="minorEastAsia"/>
          <w:bCs/>
          <w:lang w:eastAsia="zh-CN"/>
        </w:rPr>
        <w:t>industry schemes, commercial arrangements</w:t>
      </w:r>
      <w:r w:rsidR="009A009C" w:rsidRPr="00805854">
        <w:rPr>
          <w:rFonts w:eastAsiaTheme="minorEastAsia"/>
          <w:bCs/>
          <w:lang w:eastAsia="zh-CN"/>
        </w:rPr>
        <w:t xml:space="preserve"> or prescribed measures </w:t>
      </w:r>
      <w:r w:rsidRPr="00805854">
        <w:rPr>
          <w:rFonts w:eastAsiaTheme="minorEastAsia"/>
          <w:bCs/>
          <w:lang w:eastAsia="zh-CN"/>
        </w:rPr>
        <w:t xml:space="preserve">in determining whether reasonable steps </w:t>
      </w:r>
      <w:r w:rsidRPr="00805854">
        <w:rPr>
          <w:rFonts w:eastAsiaTheme="minorEastAsia"/>
          <w:bCs/>
          <w:i/>
          <w:lang w:eastAsia="zh-CN"/>
        </w:rPr>
        <w:t>have</w:t>
      </w:r>
      <w:r w:rsidRPr="00805854">
        <w:rPr>
          <w:rFonts w:eastAsiaTheme="minorEastAsia"/>
          <w:bCs/>
          <w:lang w:eastAsia="zh-CN"/>
        </w:rPr>
        <w:t xml:space="preserve"> been taken will </w:t>
      </w:r>
      <w:r w:rsidR="00A57CE5">
        <w:rPr>
          <w:rFonts w:eastAsiaTheme="minorEastAsia"/>
          <w:bCs/>
          <w:lang w:eastAsia="zh-CN"/>
        </w:rPr>
        <w:t>fetter</w:t>
      </w:r>
      <w:r w:rsidR="00A57CE5" w:rsidRPr="00805854">
        <w:rPr>
          <w:rFonts w:eastAsiaTheme="minorEastAsia"/>
          <w:bCs/>
          <w:lang w:eastAsia="zh-CN"/>
        </w:rPr>
        <w:t xml:space="preserve"> </w:t>
      </w:r>
      <w:r w:rsidRPr="00805854">
        <w:rPr>
          <w:rFonts w:eastAsiaTheme="minorEastAsia"/>
          <w:bCs/>
          <w:lang w:eastAsia="zh-CN"/>
        </w:rPr>
        <w:t xml:space="preserve">their </w:t>
      </w:r>
      <w:r w:rsidR="00B01CD4">
        <w:rPr>
          <w:rFonts w:eastAsiaTheme="minorEastAsia"/>
          <w:bCs/>
          <w:lang w:eastAsia="zh-CN"/>
        </w:rPr>
        <w:t>discretion</w:t>
      </w:r>
      <w:r w:rsidR="00B01CD4" w:rsidRPr="00805854">
        <w:rPr>
          <w:rFonts w:eastAsiaTheme="minorEastAsia"/>
          <w:bCs/>
          <w:lang w:eastAsia="zh-CN"/>
        </w:rPr>
        <w:t xml:space="preserve"> </w:t>
      </w:r>
      <w:r w:rsidRPr="00805854">
        <w:rPr>
          <w:rFonts w:eastAsiaTheme="minorEastAsia"/>
          <w:bCs/>
          <w:lang w:eastAsia="zh-CN"/>
        </w:rPr>
        <w:t xml:space="preserve">to determine what was </w:t>
      </w:r>
      <w:r w:rsidR="009A009C" w:rsidRPr="00805854">
        <w:rPr>
          <w:rFonts w:eastAsiaTheme="minorEastAsia"/>
          <w:bCs/>
          <w:lang w:eastAsia="zh-CN"/>
        </w:rPr>
        <w:t xml:space="preserve">in fact </w:t>
      </w:r>
      <w:r w:rsidRPr="00805854">
        <w:rPr>
          <w:rFonts w:eastAsiaTheme="minorEastAsia"/>
          <w:bCs/>
          <w:lang w:eastAsia="zh-CN"/>
        </w:rPr>
        <w:t>reasonable on the facts of each case.</w:t>
      </w:r>
      <w:r w:rsidR="00E054D3">
        <w:rPr>
          <w:rFonts w:eastAsiaTheme="minorEastAsia"/>
          <w:bCs/>
          <w:lang w:eastAsia="zh-CN"/>
        </w:rPr>
        <w:t xml:space="preserve"> </w:t>
      </w:r>
      <w:r w:rsidR="0057048A">
        <w:rPr>
          <w:rFonts w:eastAsiaTheme="minorEastAsia"/>
          <w:bCs/>
          <w:lang w:eastAsia="zh-CN"/>
        </w:rPr>
        <w:t xml:space="preserve">As currently drafted, the proposal would strongly influence courts to find </w:t>
      </w:r>
      <w:r w:rsidR="00166CE9">
        <w:rPr>
          <w:rFonts w:eastAsiaTheme="minorEastAsia"/>
          <w:bCs/>
          <w:lang w:eastAsia="zh-CN"/>
        </w:rPr>
        <w:t xml:space="preserve">authorisation </w:t>
      </w:r>
      <w:r w:rsidR="0057048A">
        <w:rPr>
          <w:rFonts w:eastAsiaTheme="minorEastAsia"/>
          <w:bCs/>
          <w:lang w:eastAsia="zh-CN"/>
        </w:rPr>
        <w:t xml:space="preserve">liability where there has been a failure to </w:t>
      </w:r>
      <w:r w:rsidR="00A57CE5">
        <w:rPr>
          <w:rFonts w:eastAsiaTheme="minorEastAsia"/>
          <w:bCs/>
          <w:lang w:eastAsia="zh-CN"/>
        </w:rPr>
        <w:t xml:space="preserve">adopt and comply with </w:t>
      </w:r>
      <w:r w:rsidR="0057048A">
        <w:rPr>
          <w:rFonts w:eastAsiaTheme="minorEastAsia"/>
          <w:bCs/>
          <w:lang w:eastAsia="zh-CN"/>
        </w:rPr>
        <w:t xml:space="preserve">such </w:t>
      </w:r>
      <w:r w:rsidR="00166CE9">
        <w:rPr>
          <w:rFonts w:eastAsiaTheme="minorEastAsia"/>
          <w:bCs/>
          <w:lang w:eastAsia="zh-CN"/>
        </w:rPr>
        <w:t xml:space="preserve">schemes, arrangements or </w:t>
      </w:r>
      <w:r w:rsidR="0057048A">
        <w:rPr>
          <w:rFonts w:eastAsiaTheme="minorEastAsia"/>
          <w:bCs/>
          <w:lang w:eastAsia="zh-CN"/>
        </w:rPr>
        <w:t>measures</w:t>
      </w:r>
      <w:r w:rsidR="002D34E2">
        <w:rPr>
          <w:rFonts w:eastAsiaTheme="minorEastAsia"/>
          <w:bCs/>
          <w:lang w:eastAsia="zh-CN"/>
        </w:rPr>
        <w:t xml:space="preserve"> - </w:t>
      </w:r>
      <w:r w:rsidR="0057048A" w:rsidRPr="002D34E2">
        <w:rPr>
          <w:rFonts w:eastAsiaTheme="minorEastAsia"/>
          <w:bCs/>
          <w:i/>
          <w:lang w:eastAsia="zh-CN"/>
        </w:rPr>
        <w:t xml:space="preserve">even where </w:t>
      </w:r>
      <w:r w:rsidR="00166CE9" w:rsidRPr="002D34E2">
        <w:rPr>
          <w:rFonts w:eastAsiaTheme="minorEastAsia"/>
          <w:bCs/>
          <w:i/>
          <w:lang w:eastAsia="zh-CN"/>
        </w:rPr>
        <w:t xml:space="preserve">the courts </w:t>
      </w:r>
      <w:r w:rsidR="0057048A" w:rsidRPr="002D34E2">
        <w:rPr>
          <w:rFonts w:eastAsiaTheme="minorEastAsia"/>
          <w:bCs/>
          <w:i/>
          <w:lang w:eastAsia="zh-CN"/>
        </w:rPr>
        <w:t xml:space="preserve">would not have found those steps reasonable had </w:t>
      </w:r>
      <w:r w:rsidR="00166CE9" w:rsidRPr="002D34E2">
        <w:rPr>
          <w:rFonts w:eastAsiaTheme="minorEastAsia"/>
          <w:bCs/>
          <w:i/>
          <w:lang w:eastAsia="zh-CN"/>
        </w:rPr>
        <w:t xml:space="preserve">they </w:t>
      </w:r>
      <w:r w:rsidR="0057048A" w:rsidRPr="002D34E2">
        <w:rPr>
          <w:rFonts w:eastAsiaTheme="minorEastAsia"/>
          <w:bCs/>
          <w:i/>
          <w:lang w:eastAsia="zh-CN"/>
        </w:rPr>
        <w:t>engaged in unconstrained analysis</w:t>
      </w:r>
      <w:r w:rsidR="009159AE">
        <w:rPr>
          <w:rFonts w:eastAsiaTheme="minorEastAsia"/>
          <w:bCs/>
          <w:lang w:eastAsia="zh-CN"/>
        </w:rPr>
        <w:t>. For two main reasons, t</w:t>
      </w:r>
      <w:r w:rsidR="00206927">
        <w:rPr>
          <w:rFonts w:eastAsiaTheme="minorEastAsia"/>
          <w:bCs/>
          <w:lang w:eastAsia="zh-CN"/>
        </w:rPr>
        <w:t>here is a real risk that such situations would arise</w:t>
      </w:r>
      <w:r w:rsidR="0057048A" w:rsidRPr="00206927">
        <w:rPr>
          <w:rFonts w:eastAsiaTheme="minorEastAsia"/>
          <w:bCs/>
          <w:lang w:eastAsia="zh-CN"/>
        </w:rPr>
        <w:t>.</w:t>
      </w:r>
      <w:r w:rsidR="00206927">
        <w:rPr>
          <w:rFonts w:eastAsiaTheme="minorEastAsia"/>
          <w:bCs/>
          <w:lang w:eastAsia="zh-CN"/>
        </w:rPr>
        <w:t xml:space="preserve"> </w:t>
      </w:r>
      <w:r w:rsidR="009159AE">
        <w:rPr>
          <w:rFonts w:eastAsiaTheme="minorEastAsia"/>
          <w:bCs/>
          <w:lang w:eastAsia="zh-CN"/>
        </w:rPr>
        <w:t xml:space="preserve">First, </w:t>
      </w:r>
      <w:r w:rsidR="002D34E2">
        <w:rPr>
          <w:rFonts w:eastAsiaTheme="minorEastAsia"/>
          <w:bCs/>
          <w:lang w:eastAsia="zh-CN"/>
        </w:rPr>
        <w:t xml:space="preserve">the strengthened bargaining position of rights holders and </w:t>
      </w:r>
      <w:r w:rsidR="009159AE">
        <w:rPr>
          <w:rFonts w:eastAsiaTheme="minorEastAsia"/>
          <w:bCs/>
          <w:lang w:eastAsia="zh-CN"/>
        </w:rPr>
        <w:t xml:space="preserve">need to manage new liability of uncertain scope would be reflected in the terms of deals reached by intermediaries (whether industry schemes or commercial arrangements), and </w:t>
      </w:r>
      <w:r w:rsidR="002B7F11">
        <w:rPr>
          <w:rFonts w:eastAsiaTheme="minorEastAsia"/>
          <w:bCs/>
          <w:lang w:eastAsia="zh-CN"/>
        </w:rPr>
        <w:t xml:space="preserve">thus </w:t>
      </w:r>
      <w:r w:rsidR="009159AE">
        <w:rPr>
          <w:rFonts w:eastAsiaTheme="minorEastAsia"/>
          <w:bCs/>
          <w:lang w:eastAsia="zh-CN"/>
        </w:rPr>
        <w:t xml:space="preserve">could easily </w:t>
      </w:r>
      <w:r w:rsidR="002B7F11">
        <w:rPr>
          <w:rFonts w:eastAsiaTheme="minorEastAsia"/>
          <w:bCs/>
          <w:lang w:eastAsia="zh-CN"/>
        </w:rPr>
        <w:t xml:space="preserve">result in their </w:t>
      </w:r>
      <w:r w:rsidR="002D34E2">
        <w:rPr>
          <w:rFonts w:eastAsiaTheme="minorEastAsia"/>
          <w:bCs/>
          <w:lang w:eastAsia="zh-CN"/>
        </w:rPr>
        <w:t>exceed</w:t>
      </w:r>
      <w:r w:rsidR="002B7F11">
        <w:rPr>
          <w:rFonts w:eastAsiaTheme="minorEastAsia"/>
          <w:bCs/>
          <w:lang w:eastAsia="zh-CN"/>
        </w:rPr>
        <w:t>ing</w:t>
      </w:r>
      <w:r w:rsidR="002D34E2">
        <w:rPr>
          <w:rFonts w:eastAsiaTheme="minorEastAsia"/>
          <w:bCs/>
          <w:lang w:eastAsia="zh-CN"/>
        </w:rPr>
        <w:t xml:space="preserve"> what a court would have seen as ‘reasonable’</w:t>
      </w:r>
      <w:r w:rsidR="005453B2">
        <w:rPr>
          <w:rFonts w:eastAsiaTheme="minorEastAsia"/>
          <w:bCs/>
          <w:lang w:eastAsia="zh-CN"/>
        </w:rPr>
        <w:t xml:space="preserve"> on all the facts of a particular case</w:t>
      </w:r>
      <w:r w:rsidR="009159AE">
        <w:rPr>
          <w:rFonts w:eastAsiaTheme="minorEastAsia"/>
          <w:bCs/>
          <w:lang w:eastAsia="zh-CN"/>
        </w:rPr>
        <w:t xml:space="preserve">. </w:t>
      </w:r>
      <w:r w:rsidR="002B7F11">
        <w:rPr>
          <w:rFonts w:eastAsiaTheme="minorEastAsia"/>
          <w:bCs/>
          <w:lang w:eastAsia="zh-CN"/>
        </w:rPr>
        <w:t xml:space="preserve">Second, industry schemes, commercial arrangements and prescribed measures are severely limited in the range of situations they can provide for (eg that Measure X is required in Situation Y). </w:t>
      </w:r>
      <w:r w:rsidR="005453B2">
        <w:rPr>
          <w:rFonts w:eastAsiaTheme="minorEastAsia"/>
          <w:bCs/>
          <w:lang w:eastAsia="zh-CN"/>
        </w:rPr>
        <w:t>J</w:t>
      </w:r>
      <w:r w:rsidR="002B7F11">
        <w:rPr>
          <w:rFonts w:eastAsiaTheme="minorEastAsia"/>
          <w:bCs/>
          <w:lang w:eastAsia="zh-CN"/>
        </w:rPr>
        <w:t xml:space="preserve">udicial authorisation analyses are capable of much more nuance (eg that Measure X would have been required in Situation Y but is not because Party A did Measure Z, and because Party B failed to provide Information W). </w:t>
      </w:r>
      <w:r w:rsidR="009159AE">
        <w:rPr>
          <w:rFonts w:eastAsiaTheme="minorEastAsia"/>
          <w:bCs/>
          <w:lang w:eastAsia="zh-CN"/>
        </w:rPr>
        <w:t>Th</w:t>
      </w:r>
      <w:r w:rsidR="005453B2">
        <w:rPr>
          <w:rFonts w:eastAsiaTheme="minorEastAsia"/>
          <w:bCs/>
          <w:lang w:eastAsia="zh-CN"/>
        </w:rPr>
        <w:t>e</w:t>
      </w:r>
      <w:r w:rsidR="009159AE">
        <w:rPr>
          <w:rFonts w:eastAsiaTheme="minorEastAsia"/>
          <w:bCs/>
          <w:lang w:eastAsia="zh-CN"/>
        </w:rPr>
        <w:t xml:space="preserve"> problem</w:t>
      </w:r>
      <w:r w:rsidR="002D34E2">
        <w:rPr>
          <w:rFonts w:eastAsiaTheme="minorEastAsia"/>
          <w:bCs/>
          <w:lang w:eastAsia="zh-CN"/>
        </w:rPr>
        <w:t xml:space="preserve"> </w:t>
      </w:r>
      <w:r w:rsidR="002B7F11">
        <w:rPr>
          <w:rFonts w:eastAsiaTheme="minorEastAsia"/>
          <w:bCs/>
          <w:lang w:eastAsia="zh-CN"/>
        </w:rPr>
        <w:t xml:space="preserve">of imposing the same obligations in a range of different situations </w:t>
      </w:r>
      <w:r w:rsidR="002D34E2">
        <w:rPr>
          <w:rFonts w:eastAsiaTheme="minorEastAsia"/>
          <w:bCs/>
          <w:lang w:eastAsia="zh-CN"/>
        </w:rPr>
        <w:t>would be exacerbated by the potential for commercial arrangements to bind other ‘relevant parties’.</w:t>
      </w:r>
      <w:r w:rsidR="002B7F11">
        <w:rPr>
          <w:rFonts w:eastAsiaTheme="minorEastAsia"/>
          <w:bCs/>
          <w:lang w:eastAsia="zh-CN"/>
        </w:rPr>
        <w:t xml:space="preserve"> Thus, parties could easily be </w:t>
      </w:r>
      <w:r w:rsidR="005453B2">
        <w:rPr>
          <w:rFonts w:eastAsiaTheme="minorEastAsia"/>
          <w:bCs/>
          <w:lang w:eastAsia="zh-CN"/>
        </w:rPr>
        <w:t>required to take steps that courts would not have themselves found to be reasonable in all the circumstances.</w:t>
      </w:r>
      <w:r w:rsidR="002D34E2">
        <w:rPr>
          <w:rFonts w:eastAsiaTheme="minorEastAsia"/>
          <w:bCs/>
          <w:lang w:eastAsia="zh-CN"/>
        </w:rPr>
        <w:t xml:space="preserve"> </w:t>
      </w:r>
    </w:p>
    <w:p w14:paraId="64FFA415" w14:textId="7E561B1C" w:rsidR="0057048A" w:rsidRDefault="0057048A" w:rsidP="004C5646">
      <w:pPr>
        <w:jc w:val="both"/>
        <w:rPr>
          <w:rFonts w:eastAsiaTheme="minorEastAsia"/>
          <w:bCs/>
          <w:lang w:eastAsia="zh-CN"/>
        </w:rPr>
      </w:pPr>
      <w:r>
        <w:rPr>
          <w:rFonts w:eastAsiaTheme="minorEastAsia"/>
          <w:bCs/>
          <w:lang w:eastAsia="zh-CN"/>
        </w:rPr>
        <w:t>To avoid liability</w:t>
      </w:r>
      <w:r w:rsidR="005453B2">
        <w:rPr>
          <w:rFonts w:eastAsiaTheme="minorEastAsia"/>
          <w:bCs/>
          <w:lang w:eastAsia="zh-CN"/>
        </w:rPr>
        <w:t xml:space="preserve"> in a situation where it has not complied with an industry scheme, commercial arrangement or prescribed measures</w:t>
      </w:r>
      <w:r>
        <w:rPr>
          <w:rFonts w:eastAsiaTheme="minorEastAsia"/>
          <w:bCs/>
          <w:lang w:eastAsia="zh-CN"/>
        </w:rPr>
        <w:t>, the defendant may find itself obliged to</w:t>
      </w:r>
      <w:r w:rsidRPr="00805854">
        <w:rPr>
          <w:rFonts w:eastAsiaTheme="minorEastAsia"/>
          <w:bCs/>
          <w:lang w:eastAsia="zh-CN"/>
        </w:rPr>
        <w:t xml:space="preserve"> provide evidence as to why </w:t>
      </w:r>
      <w:r w:rsidR="00FC1821">
        <w:rPr>
          <w:rFonts w:eastAsiaTheme="minorEastAsia"/>
          <w:bCs/>
          <w:lang w:eastAsia="zh-CN"/>
        </w:rPr>
        <w:t xml:space="preserve">it was not in fact reasonable </w:t>
      </w:r>
      <w:r w:rsidR="00EE5005">
        <w:rPr>
          <w:rFonts w:eastAsiaTheme="minorEastAsia"/>
          <w:bCs/>
          <w:lang w:eastAsia="zh-CN"/>
        </w:rPr>
        <w:t xml:space="preserve">in the circumstances </w:t>
      </w:r>
      <w:r w:rsidR="00FC1821">
        <w:rPr>
          <w:rFonts w:eastAsiaTheme="minorEastAsia"/>
          <w:bCs/>
          <w:lang w:eastAsia="zh-CN"/>
        </w:rPr>
        <w:t xml:space="preserve">to </w:t>
      </w:r>
      <w:r w:rsidR="005453B2">
        <w:rPr>
          <w:rFonts w:eastAsiaTheme="minorEastAsia"/>
          <w:bCs/>
          <w:lang w:eastAsia="zh-CN"/>
        </w:rPr>
        <w:t>do so</w:t>
      </w:r>
      <w:r w:rsidR="00EE5005">
        <w:rPr>
          <w:rFonts w:eastAsiaTheme="minorEastAsia"/>
          <w:bCs/>
          <w:lang w:eastAsia="zh-CN"/>
        </w:rPr>
        <w:t>.</w:t>
      </w:r>
      <w:r w:rsidR="005453B2">
        <w:rPr>
          <w:rFonts w:eastAsiaTheme="minorEastAsia"/>
          <w:bCs/>
          <w:lang w:eastAsia="zh-CN"/>
        </w:rPr>
        <w:t xml:space="preserve"> </w:t>
      </w:r>
      <w:r w:rsidRPr="00805854">
        <w:rPr>
          <w:rFonts w:eastAsiaTheme="minorEastAsia"/>
          <w:bCs/>
          <w:lang w:eastAsia="zh-CN"/>
        </w:rPr>
        <w:t xml:space="preserve">In effect, this </w:t>
      </w:r>
      <w:r w:rsidR="00166CE9">
        <w:rPr>
          <w:rFonts w:eastAsiaTheme="minorEastAsia"/>
          <w:bCs/>
          <w:lang w:eastAsia="zh-CN"/>
        </w:rPr>
        <w:t>w</w:t>
      </w:r>
      <w:r w:rsidR="00166CE9" w:rsidRPr="00805854">
        <w:rPr>
          <w:rFonts w:eastAsiaTheme="minorEastAsia"/>
          <w:bCs/>
          <w:lang w:eastAsia="zh-CN"/>
        </w:rPr>
        <w:t xml:space="preserve">ould </w:t>
      </w:r>
      <w:r w:rsidR="00166CE9">
        <w:rPr>
          <w:rFonts w:eastAsiaTheme="minorEastAsia"/>
          <w:bCs/>
          <w:lang w:eastAsia="zh-CN"/>
        </w:rPr>
        <w:t>reverse</w:t>
      </w:r>
      <w:r w:rsidR="00166CE9" w:rsidRPr="00805854">
        <w:rPr>
          <w:rFonts w:eastAsiaTheme="minorEastAsia"/>
          <w:bCs/>
          <w:lang w:eastAsia="zh-CN"/>
        </w:rPr>
        <w:t xml:space="preserve"> </w:t>
      </w:r>
      <w:r w:rsidRPr="00805854">
        <w:rPr>
          <w:rFonts w:eastAsiaTheme="minorEastAsia"/>
          <w:bCs/>
          <w:lang w:eastAsia="zh-CN"/>
        </w:rPr>
        <w:t>the burden of proof, resulting in a significant shift of rights and responsibilities.</w:t>
      </w:r>
      <w:r>
        <w:rPr>
          <w:rFonts w:eastAsiaTheme="minorEastAsia"/>
          <w:bCs/>
          <w:lang w:eastAsia="zh-CN"/>
        </w:rPr>
        <w:t xml:space="preserve"> Requiring courts to give such weight to </w:t>
      </w:r>
      <w:r w:rsidR="005453B2">
        <w:rPr>
          <w:rFonts w:eastAsiaTheme="minorEastAsia"/>
          <w:bCs/>
          <w:lang w:eastAsia="zh-CN"/>
        </w:rPr>
        <w:t xml:space="preserve">pre-determined ‘reasonable steps’ </w:t>
      </w:r>
      <w:r>
        <w:rPr>
          <w:rFonts w:eastAsiaTheme="minorEastAsia"/>
          <w:bCs/>
          <w:lang w:eastAsia="zh-CN"/>
        </w:rPr>
        <w:t xml:space="preserve">would </w:t>
      </w:r>
      <w:r w:rsidR="00A57CE5">
        <w:rPr>
          <w:rFonts w:eastAsiaTheme="minorEastAsia"/>
          <w:bCs/>
          <w:lang w:eastAsia="zh-CN"/>
        </w:rPr>
        <w:t xml:space="preserve">severely </w:t>
      </w:r>
      <w:r w:rsidR="00166CE9">
        <w:rPr>
          <w:rFonts w:eastAsiaTheme="minorEastAsia"/>
          <w:bCs/>
          <w:lang w:eastAsia="zh-CN"/>
        </w:rPr>
        <w:t>limit their discretion</w:t>
      </w:r>
      <w:r>
        <w:rPr>
          <w:rFonts w:eastAsiaTheme="minorEastAsia"/>
          <w:bCs/>
          <w:lang w:eastAsia="zh-CN"/>
        </w:rPr>
        <w:t xml:space="preserve"> to deal with </w:t>
      </w:r>
      <w:r w:rsidR="00E46B7B">
        <w:rPr>
          <w:rFonts w:eastAsiaTheme="minorEastAsia"/>
          <w:bCs/>
          <w:lang w:eastAsia="zh-CN"/>
        </w:rPr>
        <w:t>eventualities</w:t>
      </w:r>
      <w:r w:rsidR="005453B2">
        <w:rPr>
          <w:rFonts w:eastAsiaTheme="minorEastAsia"/>
          <w:bCs/>
          <w:lang w:eastAsia="zh-CN"/>
        </w:rPr>
        <w:t xml:space="preserve"> such</w:t>
      </w:r>
      <w:r w:rsidR="00E46B7B">
        <w:rPr>
          <w:rFonts w:eastAsiaTheme="minorEastAsia"/>
          <w:bCs/>
          <w:lang w:eastAsia="zh-CN"/>
        </w:rPr>
        <w:t xml:space="preserve"> as </w:t>
      </w:r>
      <w:r>
        <w:rPr>
          <w:rFonts w:eastAsiaTheme="minorEastAsia"/>
          <w:bCs/>
          <w:lang w:eastAsia="zh-CN"/>
        </w:rPr>
        <w:t xml:space="preserve">changing circumstances, </w:t>
      </w:r>
      <w:r w:rsidR="002A0DD9">
        <w:rPr>
          <w:rFonts w:eastAsiaTheme="minorEastAsia"/>
          <w:bCs/>
          <w:lang w:eastAsia="zh-CN"/>
        </w:rPr>
        <w:t xml:space="preserve">arrangements </w:t>
      </w:r>
      <w:r w:rsidR="00EE5005">
        <w:rPr>
          <w:rFonts w:eastAsiaTheme="minorEastAsia"/>
          <w:bCs/>
          <w:lang w:eastAsia="zh-CN"/>
        </w:rPr>
        <w:t xml:space="preserve">that </w:t>
      </w:r>
      <w:r>
        <w:rPr>
          <w:rFonts w:eastAsiaTheme="minorEastAsia"/>
          <w:bCs/>
          <w:lang w:eastAsia="zh-CN"/>
        </w:rPr>
        <w:t xml:space="preserve">prove impossible to </w:t>
      </w:r>
      <w:r w:rsidR="00F56DC1">
        <w:rPr>
          <w:rFonts w:eastAsiaTheme="minorEastAsia"/>
          <w:bCs/>
          <w:lang w:eastAsia="zh-CN"/>
        </w:rPr>
        <w:t>implement in practice</w:t>
      </w:r>
      <w:r>
        <w:rPr>
          <w:rFonts w:eastAsiaTheme="minorEastAsia"/>
          <w:bCs/>
          <w:lang w:eastAsia="zh-CN"/>
        </w:rPr>
        <w:t xml:space="preserve">, </w:t>
      </w:r>
      <w:r w:rsidR="00420F2E">
        <w:rPr>
          <w:rFonts w:eastAsiaTheme="minorEastAsia"/>
          <w:bCs/>
          <w:lang w:eastAsia="zh-CN"/>
        </w:rPr>
        <w:t>or</w:t>
      </w:r>
      <w:r>
        <w:rPr>
          <w:rFonts w:eastAsiaTheme="minorEastAsia"/>
          <w:bCs/>
          <w:lang w:eastAsia="zh-CN"/>
        </w:rPr>
        <w:t xml:space="preserve"> the possibility of too-onerous obligations </w:t>
      </w:r>
      <w:r w:rsidR="00420F2E">
        <w:rPr>
          <w:rFonts w:eastAsiaTheme="minorEastAsia"/>
          <w:bCs/>
          <w:lang w:eastAsia="zh-CN"/>
        </w:rPr>
        <w:t>having been</w:t>
      </w:r>
      <w:r>
        <w:rPr>
          <w:rFonts w:eastAsiaTheme="minorEastAsia"/>
          <w:bCs/>
          <w:lang w:eastAsia="zh-CN"/>
        </w:rPr>
        <w:t xml:space="preserve"> imposed by right</w:t>
      </w:r>
      <w:r w:rsidR="00EA3F07">
        <w:rPr>
          <w:rFonts w:eastAsiaTheme="minorEastAsia"/>
          <w:bCs/>
          <w:lang w:eastAsia="zh-CN"/>
        </w:rPr>
        <w:t xml:space="preserve">s </w:t>
      </w:r>
      <w:r>
        <w:rPr>
          <w:rFonts w:eastAsiaTheme="minorEastAsia"/>
          <w:bCs/>
          <w:lang w:eastAsia="zh-CN"/>
        </w:rPr>
        <w:t xml:space="preserve">holders.  It is perfectly appropriate for failure to take agreed steps to amount to a breach of contract. </w:t>
      </w:r>
      <w:r w:rsidR="00E054D3">
        <w:rPr>
          <w:rFonts w:eastAsiaTheme="minorEastAsia"/>
          <w:bCs/>
          <w:lang w:eastAsia="zh-CN"/>
        </w:rPr>
        <w:t xml:space="preserve">However, it should not dictate that the threshold for authorisation liability has been reached. </w:t>
      </w:r>
    </w:p>
    <w:p w14:paraId="6DC27338" w14:textId="2B110A6A" w:rsidR="00AA0CCD" w:rsidRPr="00805854" w:rsidRDefault="007E1A64" w:rsidP="00D4413D">
      <w:pPr>
        <w:jc w:val="both"/>
      </w:pPr>
      <w:r w:rsidRPr="00805854">
        <w:rPr>
          <w:rFonts w:eastAsiaTheme="minorEastAsia"/>
          <w:bCs/>
          <w:lang w:eastAsia="zh-CN"/>
        </w:rPr>
        <w:t>Though courts look at the totality of circumstances to determine what amounts to reasonable steps to prevent infringement in any given case, once</w:t>
      </w:r>
      <w:r w:rsidR="00435338" w:rsidRPr="00805854">
        <w:rPr>
          <w:rFonts w:eastAsiaTheme="minorEastAsia"/>
          <w:bCs/>
          <w:lang w:eastAsia="zh-CN"/>
        </w:rPr>
        <w:t xml:space="preserve"> made, that</w:t>
      </w:r>
      <w:r w:rsidRPr="00805854">
        <w:rPr>
          <w:rFonts w:eastAsiaTheme="minorEastAsia"/>
          <w:bCs/>
          <w:lang w:eastAsia="zh-CN"/>
        </w:rPr>
        <w:t xml:space="preserve"> fin</w:t>
      </w:r>
      <w:r w:rsidR="00316D0B" w:rsidRPr="00805854">
        <w:rPr>
          <w:rFonts w:eastAsiaTheme="minorEastAsia"/>
          <w:bCs/>
          <w:lang w:eastAsia="zh-CN"/>
        </w:rPr>
        <w:t>ding is extremely powerful. E</w:t>
      </w:r>
      <w:r w:rsidRPr="00805854">
        <w:rPr>
          <w:rFonts w:eastAsiaTheme="minorEastAsia"/>
          <w:bCs/>
          <w:lang w:eastAsia="zh-CN"/>
        </w:rPr>
        <w:t>very</w:t>
      </w:r>
      <w:r w:rsidR="00316D0B" w:rsidRPr="00805854">
        <w:rPr>
          <w:rFonts w:eastAsiaTheme="minorEastAsia"/>
          <w:bCs/>
          <w:lang w:eastAsia="zh-CN"/>
        </w:rPr>
        <w:t xml:space="preserve"> </w:t>
      </w:r>
      <w:r w:rsidR="00435338" w:rsidRPr="00805854">
        <w:rPr>
          <w:rFonts w:eastAsiaTheme="minorEastAsia"/>
          <w:bCs/>
          <w:lang w:eastAsia="zh-CN"/>
        </w:rPr>
        <w:t xml:space="preserve">single </w:t>
      </w:r>
      <w:r w:rsidR="00316D0B" w:rsidRPr="00805854">
        <w:rPr>
          <w:rFonts w:eastAsiaTheme="minorEastAsia"/>
          <w:bCs/>
          <w:lang w:eastAsia="zh-CN"/>
        </w:rPr>
        <w:t xml:space="preserve">defendant to have been found to have failed to take ‘reasonable steps’ to prevent infringement since Gibbs J first enunciated his test in </w:t>
      </w:r>
      <w:r w:rsidR="00316D0B" w:rsidRPr="00805854">
        <w:rPr>
          <w:rFonts w:eastAsiaTheme="minorEastAsia"/>
          <w:bCs/>
          <w:i/>
          <w:lang w:eastAsia="zh-CN"/>
        </w:rPr>
        <w:t>Moorhouse</w:t>
      </w:r>
      <w:r w:rsidRPr="00805854">
        <w:rPr>
          <w:rFonts w:eastAsiaTheme="minorEastAsia"/>
          <w:bCs/>
          <w:lang w:eastAsia="zh-CN"/>
        </w:rPr>
        <w:t xml:space="preserve"> </w:t>
      </w:r>
      <w:r w:rsidR="00316D0B" w:rsidRPr="00805854">
        <w:rPr>
          <w:rFonts w:eastAsiaTheme="minorEastAsia"/>
          <w:bCs/>
          <w:lang w:eastAsia="zh-CN"/>
        </w:rPr>
        <w:t xml:space="preserve">has </w:t>
      </w:r>
      <w:r w:rsidR="00435338" w:rsidRPr="00805854">
        <w:rPr>
          <w:rFonts w:eastAsiaTheme="minorEastAsia"/>
          <w:bCs/>
          <w:lang w:eastAsia="zh-CN"/>
        </w:rPr>
        <w:t xml:space="preserve">then </w:t>
      </w:r>
      <w:r w:rsidR="00316D0B" w:rsidRPr="00805854">
        <w:rPr>
          <w:rFonts w:eastAsiaTheme="minorEastAsia"/>
          <w:bCs/>
          <w:lang w:eastAsia="zh-CN"/>
        </w:rPr>
        <w:t>been held liable for that infringement.</w:t>
      </w:r>
      <w:r w:rsidR="00F55F0B" w:rsidRPr="00805854">
        <w:rPr>
          <w:rStyle w:val="FootnoteReference"/>
          <w:rFonts w:eastAsiaTheme="minorEastAsia"/>
          <w:bCs/>
          <w:lang w:eastAsia="zh-CN"/>
        </w:rPr>
        <w:footnoteReference w:id="45"/>
      </w:r>
      <w:r w:rsidRPr="00805854">
        <w:rPr>
          <w:rFonts w:eastAsiaTheme="minorEastAsia"/>
          <w:bCs/>
          <w:lang w:eastAsia="zh-CN"/>
        </w:rPr>
        <w:t xml:space="preserve"> </w:t>
      </w:r>
      <w:r w:rsidR="00F55F0B" w:rsidRPr="00805854">
        <w:rPr>
          <w:rFonts w:eastAsiaTheme="minorEastAsia"/>
          <w:bCs/>
          <w:lang w:eastAsia="zh-CN"/>
        </w:rPr>
        <w:t xml:space="preserve">That is, once a </w:t>
      </w:r>
      <w:r w:rsidR="0057048A">
        <w:rPr>
          <w:rFonts w:eastAsiaTheme="minorEastAsia"/>
          <w:bCs/>
          <w:lang w:eastAsia="zh-CN"/>
        </w:rPr>
        <w:t xml:space="preserve">court </w:t>
      </w:r>
      <w:r w:rsidR="007946F6">
        <w:rPr>
          <w:rFonts w:eastAsiaTheme="minorEastAsia"/>
          <w:bCs/>
          <w:lang w:eastAsia="zh-CN"/>
        </w:rPr>
        <w:t>determines the defendant has failed</w:t>
      </w:r>
      <w:r w:rsidR="00F55F0B" w:rsidRPr="00805854">
        <w:rPr>
          <w:rFonts w:eastAsiaTheme="minorEastAsia"/>
          <w:bCs/>
          <w:lang w:eastAsia="zh-CN"/>
        </w:rPr>
        <w:t xml:space="preserve"> to take reasonable steps to prevent infringement, liability has inevitably </w:t>
      </w:r>
      <w:r w:rsidR="00F55F0B" w:rsidRPr="00805854">
        <w:rPr>
          <w:rFonts w:eastAsiaTheme="minorEastAsia"/>
          <w:bCs/>
          <w:lang w:eastAsia="zh-CN"/>
        </w:rPr>
        <w:lastRenderedPageBreak/>
        <w:t xml:space="preserve">followed. </w:t>
      </w:r>
      <w:r w:rsidR="003E2116">
        <w:rPr>
          <w:rFonts w:eastAsiaTheme="minorEastAsia"/>
          <w:bCs/>
          <w:lang w:eastAsia="zh-CN"/>
        </w:rPr>
        <w:t xml:space="preserve">This history </w:t>
      </w:r>
      <w:r w:rsidR="004B4E92" w:rsidRPr="00805854">
        <w:rPr>
          <w:rFonts w:eastAsiaTheme="minorEastAsia"/>
          <w:bCs/>
          <w:lang w:eastAsia="zh-CN"/>
        </w:rPr>
        <w:t xml:space="preserve">demonstrates </w:t>
      </w:r>
      <w:r w:rsidR="00E91239" w:rsidRPr="00805854">
        <w:rPr>
          <w:rFonts w:eastAsiaTheme="minorEastAsia"/>
          <w:bCs/>
          <w:lang w:eastAsia="zh-CN"/>
        </w:rPr>
        <w:t>that a failure to take reasonable steps</w:t>
      </w:r>
      <w:r w:rsidR="004B4E92" w:rsidRPr="00805854">
        <w:rPr>
          <w:rFonts w:eastAsiaTheme="minorEastAsia"/>
          <w:bCs/>
          <w:lang w:eastAsia="zh-CN"/>
        </w:rPr>
        <w:t xml:space="preserve"> to prevent infringement </w:t>
      </w:r>
      <w:r w:rsidR="00435338" w:rsidRPr="00805854">
        <w:rPr>
          <w:rFonts w:eastAsiaTheme="minorEastAsia"/>
          <w:bCs/>
          <w:lang w:eastAsia="zh-CN"/>
        </w:rPr>
        <w:t xml:space="preserve">is highly indicative of liability. Where courts have </w:t>
      </w:r>
      <w:r w:rsidR="00633A6F">
        <w:rPr>
          <w:rFonts w:eastAsiaTheme="minorEastAsia"/>
          <w:bCs/>
          <w:lang w:eastAsia="zh-CN"/>
        </w:rPr>
        <w:t xml:space="preserve">unfettered </w:t>
      </w:r>
      <w:r w:rsidR="009959DD">
        <w:rPr>
          <w:rFonts w:eastAsiaTheme="minorEastAsia"/>
          <w:bCs/>
          <w:lang w:eastAsia="zh-CN"/>
        </w:rPr>
        <w:t>discretion</w:t>
      </w:r>
      <w:r w:rsidR="009959DD" w:rsidRPr="00805854">
        <w:rPr>
          <w:rFonts w:eastAsiaTheme="minorEastAsia"/>
          <w:bCs/>
          <w:lang w:eastAsia="zh-CN"/>
        </w:rPr>
        <w:t xml:space="preserve"> </w:t>
      </w:r>
      <w:r w:rsidR="003314DA" w:rsidRPr="00805854">
        <w:rPr>
          <w:rFonts w:eastAsiaTheme="minorEastAsia"/>
          <w:bCs/>
          <w:lang w:eastAsia="zh-CN"/>
        </w:rPr>
        <w:t xml:space="preserve">to determine what </w:t>
      </w:r>
      <w:r w:rsidR="00F55F0B" w:rsidRPr="00805854">
        <w:rPr>
          <w:rFonts w:eastAsiaTheme="minorEastAsia"/>
          <w:bCs/>
          <w:lang w:eastAsia="zh-CN"/>
        </w:rPr>
        <w:t>reasonabl</w:t>
      </w:r>
      <w:r w:rsidR="003314DA" w:rsidRPr="00805854">
        <w:rPr>
          <w:rFonts w:eastAsiaTheme="minorEastAsia"/>
          <w:bCs/>
          <w:lang w:eastAsia="zh-CN"/>
        </w:rPr>
        <w:t>e steps</w:t>
      </w:r>
      <w:r w:rsidR="00435338" w:rsidRPr="00805854">
        <w:rPr>
          <w:rFonts w:eastAsiaTheme="minorEastAsia"/>
          <w:bCs/>
          <w:lang w:eastAsia="zh-CN"/>
        </w:rPr>
        <w:t xml:space="preserve"> are in any given scenario</w:t>
      </w:r>
      <w:r w:rsidR="00D1131D" w:rsidRPr="00805854">
        <w:rPr>
          <w:rFonts w:eastAsiaTheme="minorEastAsia"/>
          <w:bCs/>
          <w:lang w:eastAsia="zh-CN"/>
        </w:rPr>
        <w:t xml:space="preserve">, </w:t>
      </w:r>
      <w:r w:rsidR="004B4E92" w:rsidRPr="00805854">
        <w:rPr>
          <w:rFonts w:eastAsiaTheme="minorEastAsia"/>
          <w:bCs/>
          <w:lang w:eastAsia="zh-CN"/>
        </w:rPr>
        <w:t>having taken</w:t>
      </w:r>
      <w:r w:rsidR="00D1131D" w:rsidRPr="00805854">
        <w:rPr>
          <w:rFonts w:eastAsiaTheme="minorEastAsia"/>
          <w:bCs/>
          <w:lang w:eastAsia="zh-CN"/>
        </w:rPr>
        <w:t xml:space="preserve"> into account the totality of circumstances</w:t>
      </w:r>
      <w:r w:rsidR="00435338" w:rsidRPr="00805854">
        <w:rPr>
          <w:rFonts w:eastAsiaTheme="minorEastAsia"/>
          <w:bCs/>
          <w:lang w:eastAsia="zh-CN"/>
        </w:rPr>
        <w:t>,</w:t>
      </w:r>
      <w:r w:rsidR="00D1131D" w:rsidRPr="00805854">
        <w:rPr>
          <w:rFonts w:eastAsiaTheme="minorEastAsia"/>
          <w:bCs/>
          <w:lang w:eastAsia="zh-CN"/>
        </w:rPr>
        <w:t xml:space="preserve"> </w:t>
      </w:r>
      <w:r w:rsidR="00435338" w:rsidRPr="00805854">
        <w:rPr>
          <w:rFonts w:eastAsiaTheme="minorEastAsia"/>
          <w:bCs/>
          <w:lang w:eastAsia="zh-CN"/>
        </w:rPr>
        <w:t>this is not problematic.</w:t>
      </w:r>
      <w:r w:rsidR="00F55F0B" w:rsidRPr="00805854">
        <w:rPr>
          <w:rFonts w:eastAsiaTheme="minorEastAsia"/>
          <w:bCs/>
          <w:lang w:eastAsia="zh-CN"/>
        </w:rPr>
        <w:t xml:space="preserve"> </w:t>
      </w:r>
      <w:r w:rsidR="003314DA" w:rsidRPr="00805854">
        <w:rPr>
          <w:rFonts w:eastAsiaTheme="minorEastAsia"/>
          <w:bCs/>
          <w:lang w:eastAsia="zh-CN"/>
        </w:rPr>
        <w:t xml:space="preserve">That flexibility </w:t>
      </w:r>
      <w:r w:rsidR="00F55F0B" w:rsidRPr="00805854">
        <w:rPr>
          <w:rFonts w:eastAsiaTheme="minorEastAsia"/>
          <w:bCs/>
          <w:lang w:eastAsia="zh-CN"/>
        </w:rPr>
        <w:t>enables them to find,</w:t>
      </w:r>
      <w:r w:rsidR="00D1131D" w:rsidRPr="00805854">
        <w:rPr>
          <w:rFonts w:eastAsiaTheme="minorEastAsia"/>
          <w:bCs/>
          <w:lang w:eastAsia="zh-CN"/>
        </w:rPr>
        <w:t xml:space="preserve"> for example,</w:t>
      </w:r>
      <w:r w:rsidR="00F55F0B" w:rsidRPr="00805854">
        <w:rPr>
          <w:rFonts w:eastAsiaTheme="minorEastAsia"/>
          <w:bCs/>
          <w:lang w:eastAsia="zh-CN"/>
        </w:rPr>
        <w:t xml:space="preserve"> that there </w:t>
      </w:r>
      <w:r w:rsidR="00D1131D" w:rsidRPr="00805854">
        <w:rPr>
          <w:rFonts w:eastAsiaTheme="minorEastAsia"/>
          <w:bCs/>
          <w:lang w:eastAsia="zh-CN"/>
        </w:rPr>
        <w:t>were</w:t>
      </w:r>
      <w:r w:rsidR="00F55F0B" w:rsidRPr="00805854">
        <w:rPr>
          <w:rFonts w:eastAsiaTheme="minorEastAsia"/>
          <w:bCs/>
          <w:lang w:eastAsia="zh-CN"/>
        </w:rPr>
        <w:t xml:space="preserve"> no reasonable steps</w:t>
      </w:r>
      <w:r w:rsidR="00D1131D" w:rsidRPr="00805854">
        <w:rPr>
          <w:rFonts w:eastAsiaTheme="minorEastAsia"/>
          <w:bCs/>
          <w:lang w:eastAsia="zh-CN"/>
        </w:rPr>
        <w:t xml:space="preserve"> that could have been taken</w:t>
      </w:r>
      <w:r w:rsidR="00F55F0B" w:rsidRPr="00805854">
        <w:rPr>
          <w:rFonts w:eastAsiaTheme="minorEastAsia"/>
          <w:bCs/>
          <w:lang w:eastAsia="zh-CN"/>
        </w:rPr>
        <w:t xml:space="preserve">, and thus that a failure to take any measures </w:t>
      </w:r>
      <w:r w:rsidR="003314DA" w:rsidRPr="00805854">
        <w:rPr>
          <w:rFonts w:eastAsiaTheme="minorEastAsia"/>
          <w:bCs/>
          <w:lang w:eastAsia="zh-CN"/>
        </w:rPr>
        <w:t xml:space="preserve">at all </w:t>
      </w:r>
      <w:r w:rsidR="00F55F0B" w:rsidRPr="00805854">
        <w:rPr>
          <w:rFonts w:eastAsiaTheme="minorEastAsia"/>
          <w:bCs/>
          <w:lang w:eastAsia="zh-CN"/>
        </w:rPr>
        <w:t>is not indicative of liability.</w:t>
      </w:r>
      <w:r w:rsidR="00F55F0B" w:rsidRPr="00805854">
        <w:rPr>
          <w:rStyle w:val="FootnoteReference"/>
          <w:rFonts w:eastAsiaTheme="minorEastAsia"/>
          <w:bCs/>
          <w:lang w:eastAsia="zh-CN"/>
        </w:rPr>
        <w:footnoteReference w:id="46"/>
      </w:r>
      <w:r w:rsidR="00D1131D" w:rsidRPr="00805854">
        <w:rPr>
          <w:rFonts w:eastAsiaTheme="minorEastAsia"/>
          <w:bCs/>
          <w:lang w:eastAsia="zh-CN"/>
        </w:rPr>
        <w:t xml:space="preserve"> </w:t>
      </w:r>
      <w:r w:rsidR="003314DA" w:rsidRPr="00805854">
        <w:rPr>
          <w:rFonts w:eastAsiaTheme="minorEastAsia"/>
          <w:bCs/>
          <w:lang w:eastAsia="zh-CN"/>
        </w:rPr>
        <w:t xml:space="preserve">How might courts respond </w:t>
      </w:r>
      <w:r w:rsidR="00F55F0B" w:rsidRPr="00805854">
        <w:rPr>
          <w:rFonts w:eastAsiaTheme="minorEastAsia"/>
          <w:bCs/>
          <w:lang w:eastAsia="zh-CN"/>
        </w:rPr>
        <w:t xml:space="preserve">if that </w:t>
      </w:r>
      <w:r w:rsidR="009959DD">
        <w:rPr>
          <w:rFonts w:eastAsiaTheme="minorEastAsia"/>
          <w:bCs/>
          <w:lang w:eastAsia="zh-CN"/>
        </w:rPr>
        <w:t>discretion</w:t>
      </w:r>
      <w:r w:rsidR="009959DD" w:rsidRPr="00805854">
        <w:rPr>
          <w:rFonts w:eastAsiaTheme="minorEastAsia"/>
          <w:bCs/>
          <w:lang w:eastAsia="zh-CN"/>
        </w:rPr>
        <w:t xml:space="preserve"> </w:t>
      </w:r>
      <w:r w:rsidR="00F55F0B" w:rsidRPr="00805854">
        <w:rPr>
          <w:rFonts w:eastAsiaTheme="minorEastAsia"/>
          <w:bCs/>
          <w:lang w:eastAsia="zh-CN"/>
        </w:rPr>
        <w:t xml:space="preserve">is reduced, and regulations or voluntary agreements are used to </w:t>
      </w:r>
      <w:r w:rsidR="00D1131D" w:rsidRPr="00805854">
        <w:rPr>
          <w:rFonts w:eastAsiaTheme="minorEastAsia"/>
          <w:bCs/>
          <w:lang w:eastAsia="zh-CN"/>
        </w:rPr>
        <w:t xml:space="preserve">effectively </w:t>
      </w:r>
      <w:r w:rsidR="003314DA" w:rsidRPr="00805854">
        <w:rPr>
          <w:rFonts w:eastAsiaTheme="minorEastAsia"/>
          <w:bCs/>
          <w:lang w:eastAsia="zh-CN"/>
        </w:rPr>
        <w:t>mandate reasonable steps</w:t>
      </w:r>
      <w:r w:rsidR="009959DD">
        <w:rPr>
          <w:rFonts w:eastAsiaTheme="minorEastAsia"/>
          <w:bCs/>
          <w:lang w:eastAsia="zh-CN"/>
        </w:rPr>
        <w:t xml:space="preserve"> regardless of </w:t>
      </w:r>
      <w:r w:rsidR="00420F2E">
        <w:rPr>
          <w:rFonts w:eastAsiaTheme="minorEastAsia"/>
          <w:bCs/>
          <w:lang w:eastAsia="zh-CN"/>
        </w:rPr>
        <w:t>other</w:t>
      </w:r>
      <w:r w:rsidR="009959DD">
        <w:rPr>
          <w:rFonts w:eastAsiaTheme="minorEastAsia"/>
          <w:bCs/>
          <w:lang w:eastAsia="zh-CN"/>
        </w:rPr>
        <w:t xml:space="preserve"> circumstances</w:t>
      </w:r>
      <w:r w:rsidR="003314DA" w:rsidRPr="00805854">
        <w:rPr>
          <w:rFonts w:eastAsiaTheme="minorEastAsia"/>
          <w:bCs/>
          <w:lang w:eastAsia="zh-CN"/>
        </w:rPr>
        <w:t xml:space="preserve">? </w:t>
      </w:r>
      <w:r w:rsidR="00650F8F" w:rsidRPr="00805854">
        <w:rPr>
          <w:rFonts w:eastAsiaTheme="minorEastAsia"/>
          <w:bCs/>
          <w:lang w:eastAsia="zh-CN"/>
        </w:rPr>
        <w:t xml:space="preserve">It is possible that </w:t>
      </w:r>
      <w:r w:rsidR="00435338" w:rsidRPr="00805854">
        <w:rPr>
          <w:rFonts w:eastAsiaTheme="minorEastAsia"/>
          <w:bCs/>
          <w:lang w:eastAsia="zh-CN"/>
        </w:rPr>
        <w:t>Australian courts</w:t>
      </w:r>
      <w:r w:rsidR="00650F8F" w:rsidRPr="00805854">
        <w:rPr>
          <w:rFonts w:eastAsiaTheme="minorEastAsia"/>
          <w:bCs/>
          <w:lang w:eastAsia="zh-CN"/>
        </w:rPr>
        <w:t xml:space="preserve"> may create new precedent to find that authorisation is not made out even where there has been a failure to take</w:t>
      </w:r>
      <w:r w:rsidR="006F1629">
        <w:rPr>
          <w:rFonts w:eastAsiaTheme="minorEastAsia"/>
          <w:bCs/>
          <w:lang w:eastAsia="zh-CN"/>
        </w:rPr>
        <w:t xml:space="preserve"> reasonable steps to prevent it. However,</w:t>
      </w:r>
      <w:r w:rsidR="00650F8F" w:rsidRPr="00805854">
        <w:rPr>
          <w:rFonts w:eastAsiaTheme="minorEastAsia"/>
          <w:bCs/>
          <w:lang w:eastAsia="zh-CN"/>
        </w:rPr>
        <w:t xml:space="preserve"> t</w:t>
      </w:r>
      <w:r w:rsidR="003314DA" w:rsidRPr="00805854">
        <w:rPr>
          <w:rFonts w:eastAsiaTheme="minorEastAsia"/>
          <w:bCs/>
          <w:lang w:eastAsia="zh-CN"/>
        </w:rPr>
        <w:t>hey may feel bound to find that liability is made out even if the totality of circumstances, in an unconstrained analysis, would not have resulted in that finding. The mandate of reasonable steps has the potential to be an extremely blunt and powerful instrument</w:t>
      </w:r>
      <w:r w:rsidR="00D149D1" w:rsidRPr="00805854">
        <w:rPr>
          <w:rFonts w:eastAsiaTheme="minorEastAsia"/>
          <w:bCs/>
          <w:lang w:eastAsia="zh-CN"/>
        </w:rPr>
        <w:t xml:space="preserve"> that affects the very foundations of the doctrine</w:t>
      </w:r>
      <w:r w:rsidR="003314DA" w:rsidRPr="00805854">
        <w:rPr>
          <w:rFonts w:eastAsiaTheme="minorEastAsia"/>
          <w:bCs/>
          <w:lang w:eastAsia="zh-CN"/>
        </w:rPr>
        <w:t xml:space="preserve">. </w:t>
      </w:r>
    </w:p>
    <w:p w14:paraId="57CB14FE" w14:textId="77777777" w:rsidR="00AA0CCD" w:rsidRPr="00805854" w:rsidRDefault="00AA0CCD" w:rsidP="00D4413D">
      <w:pPr>
        <w:jc w:val="both"/>
      </w:pPr>
    </w:p>
    <w:p w14:paraId="24F1329C" w14:textId="77777777" w:rsidR="008600B6" w:rsidRPr="005D2FAF" w:rsidRDefault="007E1A64" w:rsidP="005D2FAF">
      <w:pPr>
        <w:pStyle w:val="Heading1"/>
      </w:pPr>
      <w:bookmarkStart w:id="10" w:name="_Toc397245897"/>
      <w:r w:rsidRPr="005D2FAF">
        <w:t>Practical implications for Australian intermediaries</w:t>
      </w:r>
      <w:bookmarkEnd w:id="10"/>
    </w:p>
    <w:p w14:paraId="542F5872" w14:textId="77777777" w:rsidR="00797E80" w:rsidRPr="00805854" w:rsidRDefault="00797E80" w:rsidP="00D4413D">
      <w:pPr>
        <w:jc w:val="both"/>
      </w:pPr>
    </w:p>
    <w:p w14:paraId="3760FC16" w14:textId="1285115B" w:rsidR="003314DA" w:rsidRPr="00805854" w:rsidRDefault="003314DA" w:rsidP="00D4413D">
      <w:pPr>
        <w:jc w:val="both"/>
      </w:pPr>
      <w:r w:rsidRPr="00805854">
        <w:t xml:space="preserve">Although the Government’s proposed amendment appears squarely aimed at ISPs, the broadening of the doctrine would apply with equal force to any other </w:t>
      </w:r>
      <w:r w:rsidR="00633A6F">
        <w:t>person</w:t>
      </w:r>
      <w:r w:rsidR="00FB3171" w:rsidRPr="00805854">
        <w:t xml:space="preserve"> </w:t>
      </w:r>
      <w:r w:rsidRPr="00805854">
        <w:t xml:space="preserve">who </w:t>
      </w:r>
      <w:r w:rsidR="00633A6F">
        <w:t xml:space="preserve">provides </w:t>
      </w:r>
      <w:r w:rsidRPr="00805854">
        <w:t>goods or services</w:t>
      </w:r>
      <w:r w:rsidR="00633A6F">
        <w:t xml:space="preserve"> which may</w:t>
      </w:r>
      <w:r w:rsidRPr="00805854">
        <w:t xml:space="preserve"> be put to infringing use. This includes all organisations </w:t>
      </w:r>
      <w:r w:rsidR="00633A6F">
        <w:t xml:space="preserve">which </w:t>
      </w:r>
      <w:r w:rsidR="00633A6F" w:rsidRPr="00805854">
        <w:t>provid</w:t>
      </w:r>
      <w:r w:rsidR="00633A6F">
        <w:t>e</w:t>
      </w:r>
      <w:r w:rsidR="00633A6F" w:rsidRPr="00805854">
        <w:t xml:space="preserve"> </w:t>
      </w:r>
      <w:r w:rsidRPr="00805854">
        <w:t>internet access to the public</w:t>
      </w:r>
      <w:r w:rsidR="00FB3171" w:rsidRPr="00805854">
        <w:t xml:space="preserve"> (including government bodies, libraries, schools and universities), online platforms which </w:t>
      </w:r>
      <w:r w:rsidR="00FB3171" w:rsidRPr="00805854">
        <w:rPr>
          <w:rFonts w:eastAsiaTheme="minorEastAsia"/>
          <w:bCs/>
          <w:lang w:eastAsia="zh-CN"/>
        </w:rPr>
        <w:t xml:space="preserve">enable users to upload and display images and videos (such as eBay, Facebook and YouTube), providers of remote or ‘cloud’ storage (including commercial businesses like Dropbox, Microsoft and Google, as well </w:t>
      </w:r>
      <w:r w:rsidR="00650F8F" w:rsidRPr="00805854">
        <w:rPr>
          <w:rFonts w:eastAsiaTheme="minorEastAsia"/>
          <w:bCs/>
          <w:lang w:eastAsia="zh-CN"/>
        </w:rPr>
        <w:t xml:space="preserve">as </w:t>
      </w:r>
      <w:r w:rsidR="00FB3171" w:rsidRPr="00805854">
        <w:rPr>
          <w:rFonts w:eastAsiaTheme="minorEastAsia"/>
          <w:bCs/>
          <w:lang w:eastAsia="zh-CN"/>
        </w:rPr>
        <w:t xml:space="preserve">schools and universities), </w:t>
      </w:r>
      <w:r w:rsidR="00633A6F">
        <w:rPr>
          <w:rFonts w:eastAsiaTheme="minorEastAsia"/>
          <w:bCs/>
          <w:lang w:eastAsia="zh-CN"/>
        </w:rPr>
        <w:t>organisations which</w:t>
      </w:r>
      <w:r w:rsidR="00FB3171" w:rsidRPr="00805854">
        <w:rPr>
          <w:rFonts w:eastAsiaTheme="minorEastAsia"/>
          <w:bCs/>
          <w:lang w:eastAsia="zh-CN"/>
        </w:rPr>
        <w:t xml:space="preserve"> loan out or make available copyrighted content (libraries and video stores) and businesses </w:t>
      </w:r>
      <w:r w:rsidR="00633A6F">
        <w:rPr>
          <w:rFonts w:eastAsiaTheme="minorEastAsia"/>
          <w:bCs/>
          <w:lang w:eastAsia="zh-CN"/>
        </w:rPr>
        <w:t>which</w:t>
      </w:r>
      <w:r w:rsidR="00633A6F" w:rsidRPr="00805854">
        <w:rPr>
          <w:rFonts w:eastAsiaTheme="minorEastAsia"/>
          <w:bCs/>
          <w:lang w:eastAsia="zh-CN"/>
        </w:rPr>
        <w:t xml:space="preserve"> </w:t>
      </w:r>
      <w:r w:rsidR="00633A6F">
        <w:rPr>
          <w:rFonts w:eastAsiaTheme="minorEastAsia"/>
          <w:bCs/>
          <w:lang w:eastAsia="zh-CN"/>
        </w:rPr>
        <w:t xml:space="preserve">make and </w:t>
      </w:r>
      <w:r w:rsidR="00FB3171" w:rsidRPr="00805854">
        <w:rPr>
          <w:rFonts w:eastAsiaTheme="minorEastAsia"/>
          <w:bCs/>
          <w:lang w:eastAsia="zh-CN"/>
        </w:rPr>
        <w:t xml:space="preserve">sell </w:t>
      </w:r>
      <w:r w:rsidR="00633A6F">
        <w:rPr>
          <w:rFonts w:eastAsiaTheme="minorEastAsia"/>
          <w:bCs/>
          <w:lang w:eastAsia="zh-CN"/>
        </w:rPr>
        <w:t>everyday consumer</w:t>
      </w:r>
      <w:r w:rsidR="00633A6F" w:rsidRPr="00805854">
        <w:rPr>
          <w:rFonts w:eastAsiaTheme="minorEastAsia"/>
          <w:bCs/>
          <w:lang w:eastAsia="zh-CN"/>
        </w:rPr>
        <w:t xml:space="preserve"> </w:t>
      </w:r>
      <w:r w:rsidR="00FB3171" w:rsidRPr="00805854">
        <w:rPr>
          <w:rFonts w:eastAsiaTheme="minorEastAsia"/>
          <w:bCs/>
          <w:lang w:eastAsia="zh-CN"/>
        </w:rPr>
        <w:t>technologies like CDs, CD/DVD burners, USB keys, hard drives</w:t>
      </w:r>
      <w:r w:rsidR="007C5F8B">
        <w:rPr>
          <w:rFonts w:eastAsiaTheme="minorEastAsia"/>
          <w:bCs/>
          <w:lang w:eastAsia="zh-CN"/>
        </w:rPr>
        <w:t>, digital video recorders</w:t>
      </w:r>
      <w:r w:rsidR="00FB3171" w:rsidRPr="00805854">
        <w:rPr>
          <w:rFonts w:eastAsiaTheme="minorEastAsia"/>
          <w:bCs/>
          <w:lang w:eastAsia="zh-CN"/>
        </w:rPr>
        <w:t xml:space="preserve"> and photocopiers.  </w:t>
      </w:r>
    </w:p>
    <w:p w14:paraId="1EB39656" w14:textId="77777777" w:rsidR="007E1A64" w:rsidRPr="00805854" w:rsidRDefault="0030297D" w:rsidP="00D4413D">
      <w:pPr>
        <w:jc w:val="both"/>
      </w:pPr>
      <w:r w:rsidRPr="00805854">
        <w:t xml:space="preserve">As explained above, authorisation law is governed only partly by statute. Although courts must take the statutory factors into account, they do so with reference to the common law origins of those factors, and incorporate other considerations and analysis from the common law. It is impossible to predict in advance how courts faced with any given fact scenario might integrate the amended statute with existing common law principles. However, the </w:t>
      </w:r>
      <w:r w:rsidR="007E1A64" w:rsidRPr="00805854">
        <w:t xml:space="preserve">likely practical implications </w:t>
      </w:r>
      <w:r w:rsidRPr="00805854">
        <w:t>of</w:t>
      </w:r>
      <w:r w:rsidR="007E1A64" w:rsidRPr="00805854">
        <w:t xml:space="preserve"> the amendment for Australian intermediaries </w:t>
      </w:r>
      <w:r w:rsidR="00F76E06" w:rsidRPr="00805854">
        <w:t>include</w:t>
      </w:r>
      <w:r w:rsidR="007E1A64" w:rsidRPr="00805854">
        <w:t>:</w:t>
      </w:r>
    </w:p>
    <w:p w14:paraId="6A9B1983" w14:textId="77777777" w:rsidR="007E1A64" w:rsidRPr="00805854" w:rsidRDefault="003314DA" w:rsidP="00D4413D">
      <w:pPr>
        <w:pStyle w:val="ListParagraph"/>
        <w:numPr>
          <w:ilvl w:val="0"/>
          <w:numId w:val="20"/>
        </w:numPr>
        <w:jc w:val="both"/>
      </w:pPr>
      <w:r w:rsidRPr="00805854">
        <w:t>New obligations</w:t>
      </w:r>
      <w:r w:rsidR="007E1A64" w:rsidRPr="00805854">
        <w:t xml:space="preserve"> to take</w:t>
      </w:r>
      <w:r w:rsidR="0030297D" w:rsidRPr="00805854">
        <w:t xml:space="preserve"> </w:t>
      </w:r>
      <w:r w:rsidR="00D149D1" w:rsidRPr="00805854">
        <w:t>more</w:t>
      </w:r>
      <w:r w:rsidR="007E1A64" w:rsidRPr="00805854">
        <w:t xml:space="preserve"> proactive steps to prevent infringement</w:t>
      </w:r>
      <w:r w:rsidR="0030297D" w:rsidRPr="00805854">
        <w:t>;</w:t>
      </w:r>
    </w:p>
    <w:p w14:paraId="5B2EA03D" w14:textId="77777777" w:rsidR="00A93797" w:rsidRPr="00805854" w:rsidRDefault="00A93797" w:rsidP="00D4413D">
      <w:pPr>
        <w:pStyle w:val="ListParagraph"/>
        <w:numPr>
          <w:ilvl w:val="0"/>
          <w:numId w:val="20"/>
        </w:numPr>
        <w:jc w:val="both"/>
      </w:pPr>
      <w:r w:rsidRPr="00805854">
        <w:t>New pressure on organisations to enter into private enforcement deals;</w:t>
      </w:r>
    </w:p>
    <w:p w14:paraId="26C62259" w14:textId="77777777" w:rsidR="007E1A64" w:rsidRPr="00805854" w:rsidRDefault="007E1A64" w:rsidP="00D4413D">
      <w:pPr>
        <w:pStyle w:val="ListParagraph"/>
        <w:numPr>
          <w:ilvl w:val="0"/>
          <w:numId w:val="20"/>
        </w:numPr>
        <w:jc w:val="both"/>
      </w:pPr>
      <w:r w:rsidRPr="00805854">
        <w:t xml:space="preserve">Increased </w:t>
      </w:r>
      <w:r w:rsidR="000D341C" w:rsidRPr="00805854">
        <w:t xml:space="preserve">need to rely on ‘safe harbours’ (with a corresponding increase in </w:t>
      </w:r>
      <w:r w:rsidR="00A93797" w:rsidRPr="00805854">
        <w:t>terminations of user accounts</w:t>
      </w:r>
      <w:r w:rsidR="000D341C" w:rsidRPr="00805854">
        <w:t>);</w:t>
      </w:r>
      <w:r w:rsidR="003314DA" w:rsidRPr="00805854">
        <w:t xml:space="preserve"> and</w:t>
      </w:r>
    </w:p>
    <w:p w14:paraId="1A20702C" w14:textId="77777777" w:rsidR="007E1A64" w:rsidRPr="00805854" w:rsidRDefault="007E1A64" w:rsidP="00D4413D">
      <w:pPr>
        <w:pStyle w:val="ListParagraph"/>
        <w:numPr>
          <w:ilvl w:val="0"/>
          <w:numId w:val="20"/>
        </w:numPr>
        <w:jc w:val="both"/>
      </w:pPr>
      <w:r w:rsidRPr="00805854">
        <w:t>Reduced international competitiveness as a result of additional red tape and regulatory burdens</w:t>
      </w:r>
      <w:r w:rsidR="00D149D1" w:rsidRPr="00805854">
        <w:t>.</w:t>
      </w:r>
      <w:r w:rsidRPr="00805854">
        <w:t xml:space="preserve"> </w:t>
      </w:r>
    </w:p>
    <w:p w14:paraId="697C1888" w14:textId="77777777" w:rsidR="004F5EB3" w:rsidRPr="00805854" w:rsidRDefault="004F5EB3" w:rsidP="00D4413D">
      <w:pPr>
        <w:pStyle w:val="ListParagraph"/>
        <w:jc w:val="both"/>
      </w:pPr>
    </w:p>
    <w:p w14:paraId="58C5FD5C" w14:textId="77777777" w:rsidR="00001B32" w:rsidRPr="00805854" w:rsidRDefault="00BD1902" w:rsidP="00D4413D">
      <w:pPr>
        <w:pStyle w:val="Heading2"/>
        <w:jc w:val="both"/>
      </w:pPr>
      <w:bookmarkStart w:id="11" w:name="_Toc397245898"/>
      <w:r w:rsidRPr="00805854">
        <w:lastRenderedPageBreak/>
        <w:t>N</w:t>
      </w:r>
      <w:r w:rsidR="00904B15" w:rsidRPr="00805854">
        <w:t xml:space="preserve">ew </w:t>
      </w:r>
      <w:r w:rsidR="00001B32" w:rsidRPr="00805854">
        <w:t>obligation</w:t>
      </w:r>
      <w:r w:rsidRPr="00805854">
        <w:t>s</w:t>
      </w:r>
      <w:r w:rsidR="00001B32" w:rsidRPr="00805854">
        <w:t xml:space="preserve"> to </w:t>
      </w:r>
      <w:r w:rsidR="007E1A64" w:rsidRPr="00805854">
        <w:t xml:space="preserve">take </w:t>
      </w:r>
      <w:r w:rsidR="00D149D1" w:rsidRPr="00805854">
        <w:t>proactive</w:t>
      </w:r>
      <w:r w:rsidR="007E1A64" w:rsidRPr="00805854">
        <w:t xml:space="preserve"> steps to reduce infringement</w:t>
      </w:r>
      <w:bookmarkEnd w:id="11"/>
    </w:p>
    <w:p w14:paraId="3E95981A" w14:textId="77777777" w:rsidR="007E1A64" w:rsidRPr="00805854" w:rsidRDefault="007E1A64" w:rsidP="00D4413D">
      <w:pPr>
        <w:jc w:val="both"/>
      </w:pPr>
    </w:p>
    <w:p w14:paraId="0BF8E395" w14:textId="04C8DBB2" w:rsidR="005F2D1C" w:rsidRPr="00805854" w:rsidRDefault="00E30B0B" w:rsidP="00D4413D">
      <w:pPr>
        <w:jc w:val="both"/>
      </w:pPr>
      <w:r w:rsidRPr="00805854">
        <w:t xml:space="preserve">There are many situations in which </w:t>
      </w:r>
      <w:r w:rsidR="002050E9" w:rsidRPr="00805854">
        <w:t xml:space="preserve">it may be argued that </w:t>
      </w:r>
      <w:r w:rsidRPr="00805854">
        <w:t xml:space="preserve">an organisation could take steps to limit infringement, even though it has </w:t>
      </w:r>
      <w:r w:rsidR="0043232D" w:rsidRPr="00805854">
        <w:t xml:space="preserve">little or </w:t>
      </w:r>
      <w:r w:rsidRPr="00805854">
        <w:t xml:space="preserve">no </w:t>
      </w:r>
      <w:r w:rsidR="002050E9" w:rsidRPr="00805854">
        <w:t xml:space="preserve">direct </w:t>
      </w:r>
      <w:r w:rsidRPr="00805854">
        <w:t>power to prevent the infringements from occurring.</w:t>
      </w:r>
      <w:r w:rsidR="00132B3A">
        <w:t xml:space="preserve"> </w:t>
      </w:r>
      <w:r w:rsidR="002050E9" w:rsidRPr="00805854">
        <w:t xml:space="preserve"> </w:t>
      </w:r>
    </w:p>
    <w:p w14:paraId="663F7F34" w14:textId="17EAA450" w:rsidR="005F2D1C" w:rsidRPr="00805854" w:rsidRDefault="005F2D1C" w:rsidP="00D4413D">
      <w:pPr>
        <w:pStyle w:val="Heading3"/>
        <w:keepNext/>
        <w:spacing w:after="240"/>
        <w:jc w:val="both"/>
      </w:pPr>
      <w:bookmarkStart w:id="12" w:name="_Toc397245899"/>
      <w:r w:rsidRPr="00805854">
        <w:t xml:space="preserve">Case study: </w:t>
      </w:r>
      <w:r w:rsidR="00357B5D">
        <w:t>P</w:t>
      </w:r>
      <w:r w:rsidR="00357B5D" w:rsidRPr="00805854">
        <w:t xml:space="preserve">ublic </w:t>
      </w:r>
      <w:r w:rsidR="00132B3A">
        <w:t>Wi-F</w:t>
      </w:r>
      <w:r w:rsidR="00132B3A" w:rsidRPr="00805854">
        <w:t>i</w:t>
      </w:r>
      <w:bookmarkEnd w:id="12"/>
    </w:p>
    <w:p w14:paraId="2CFFD0F3" w14:textId="6FE93369" w:rsidR="00F76E06" w:rsidRPr="00805854" w:rsidRDefault="00B240C7" w:rsidP="00D4413D">
      <w:pPr>
        <w:jc w:val="both"/>
      </w:pPr>
      <w:r w:rsidRPr="00805854">
        <w:t>A number o</w:t>
      </w:r>
      <w:r w:rsidR="00BA0BC5">
        <w:t>f public bodies such as the Cities</w:t>
      </w:r>
      <w:r w:rsidRPr="00805854">
        <w:t xml:space="preserve"> of Adelaide</w:t>
      </w:r>
      <w:r w:rsidR="00BA0BC5">
        <w:t xml:space="preserve"> and Perth</w:t>
      </w:r>
      <w:r w:rsidRPr="00805854">
        <w:t xml:space="preserve"> provide free </w:t>
      </w:r>
      <w:r w:rsidR="00132B3A">
        <w:t xml:space="preserve">Wi-Fi </w:t>
      </w:r>
      <w:r w:rsidRPr="00805854">
        <w:t>internet access to th</w:t>
      </w:r>
      <w:r w:rsidR="00FB3171" w:rsidRPr="00805854">
        <w:t>e public;</w:t>
      </w:r>
      <w:r w:rsidR="001A1BBD">
        <w:rPr>
          <w:rStyle w:val="FootnoteReference"/>
        </w:rPr>
        <w:footnoteReference w:id="47"/>
      </w:r>
      <w:r w:rsidR="00FB3171" w:rsidRPr="00805854">
        <w:t xml:space="preserve"> </w:t>
      </w:r>
      <w:r w:rsidRPr="00805854">
        <w:t>plans ha</w:t>
      </w:r>
      <w:r w:rsidR="00132B3A">
        <w:t xml:space="preserve">ve been announced to roll out </w:t>
      </w:r>
      <w:r w:rsidRPr="00805854">
        <w:t>similar program</w:t>
      </w:r>
      <w:r w:rsidR="00132B3A">
        <w:t>s</w:t>
      </w:r>
      <w:r w:rsidRPr="00805854">
        <w:t xml:space="preserve"> in</w:t>
      </w:r>
      <w:r w:rsidR="00E211AE">
        <w:t xml:space="preserve"> Melbourne and</w:t>
      </w:r>
      <w:r w:rsidRPr="00805854">
        <w:t xml:space="preserve"> Canberra.</w:t>
      </w:r>
      <w:r w:rsidR="00E211AE">
        <w:rPr>
          <w:rStyle w:val="FootnoteReference"/>
        </w:rPr>
        <w:footnoteReference w:id="48"/>
      </w:r>
      <w:r w:rsidRPr="00805854">
        <w:t xml:space="preserve"> Similar services are offered on a smaller scale by </w:t>
      </w:r>
      <w:r w:rsidR="00F76E06" w:rsidRPr="00805854">
        <w:t xml:space="preserve">libraries, </w:t>
      </w:r>
      <w:r w:rsidRPr="00805854">
        <w:t>airports, cafes</w:t>
      </w:r>
      <w:r w:rsidR="00197437">
        <w:t>, hospitals,</w:t>
      </w:r>
      <w:r w:rsidRPr="00805854">
        <w:t xml:space="preserve"> and other businesses. Currently, such services encourage use by making it easy to get online. In Federation Square in Melbourne, for example, users are required only to agree to </w:t>
      </w:r>
      <w:r w:rsidR="00197437">
        <w:t>basic</w:t>
      </w:r>
      <w:r w:rsidR="00197437" w:rsidRPr="00805854">
        <w:t xml:space="preserve"> </w:t>
      </w:r>
      <w:r w:rsidRPr="00805854">
        <w:t>‘Terms and Conditions’ of use to be connected</w:t>
      </w:r>
      <w:r w:rsidR="00197437">
        <w:t xml:space="preserve"> (and are not required to provide their identity or contact details)</w:t>
      </w:r>
      <w:r w:rsidRPr="00805854">
        <w:t>.</w:t>
      </w:r>
      <w:r w:rsidRPr="00805854">
        <w:rPr>
          <w:vertAlign w:val="superscript"/>
        </w:rPr>
        <w:footnoteReference w:id="49"/>
      </w:r>
      <w:r w:rsidRPr="00805854">
        <w:t xml:space="preserve"> </w:t>
      </w:r>
    </w:p>
    <w:p w14:paraId="776D5154" w14:textId="67D212C2" w:rsidR="002B6DB1" w:rsidRDefault="00B240C7" w:rsidP="00D4413D">
      <w:pPr>
        <w:jc w:val="both"/>
        <w:rPr>
          <w:rFonts w:eastAsiaTheme="minorEastAsia"/>
          <w:bCs/>
          <w:lang w:eastAsia="zh-CN"/>
        </w:rPr>
      </w:pPr>
      <w:r w:rsidRPr="00805854">
        <w:t xml:space="preserve">Under the revised law, such public </w:t>
      </w:r>
      <w:r w:rsidR="00F978EF">
        <w:t>Wi-Fi</w:t>
      </w:r>
      <w:r w:rsidRPr="00805854">
        <w:t xml:space="preserve"> providers may have a duty to take more proactive steps to limit potential infringement. </w:t>
      </w:r>
      <w:r w:rsidR="00FB3171" w:rsidRPr="00805854">
        <w:t xml:space="preserve">They would </w:t>
      </w:r>
      <w:r w:rsidR="004127F3" w:rsidRPr="00805854">
        <w:t>be obliged</w:t>
      </w:r>
      <w:r w:rsidR="00FB3171" w:rsidRPr="00805854">
        <w:t xml:space="preserve"> to wrestle with what that might </w:t>
      </w:r>
      <w:r w:rsidR="00F76E06" w:rsidRPr="00805854">
        <w:t>involve. W</w:t>
      </w:r>
      <w:r w:rsidRPr="00805854">
        <w:t xml:space="preserve">ould it be a reasonable step in those circumstances to provide only slow connections? </w:t>
      </w:r>
      <w:r w:rsidR="004127F3" w:rsidRPr="00805854">
        <w:t xml:space="preserve">To limit access to web protocols or impose download limits? </w:t>
      </w:r>
      <w:r w:rsidRPr="00805854">
        <w:t xml:space="preserve">To require formal identification or verified contact details </w:t>
      </w:r>
      <w:r w:rsidR="00F978EF" w:rsidRPr="00805854">
        <w:t>f</w:t>
      </w:r>
      <w:r w:rsidR="00F978EF">
        <w:t>rom</w:t>
      </w:r>
      <w:r w:rsidR="00F978EF" w:rsidRPr="00805854">
        <w:t xml:space="preserve"> </w:t>
      </w:r>
      <w:r w:rsidRPr="00805854">
        <w:t>each user?</w:t>
      </w:r>
      <w:r w:rsidR="00F76E06" w:rsidRPr="00805854">
        <w:t xml:space="preserve"> These providers would also have to keep abreast of private arrangements entered into by other internet providers, including traditional ISPs, in case </w:t>
      </w:r>
      <w:r w:rsidR="00F978EF">
        <w:t>such arrangements</w:t>
      </w:r>
      <w:r w:rsidR="00F978EF" w:rsidRPr="00805854">
        <w:t xml:space="preserve"> </w:t>
      </w:r>
      <w:r w:rsidR="00F76E06" w:rsidRPr="00805854">
        <w:t xml:space="preserve">impact their own liability. The </w:t>
      </w:r>
      <w:r w:rsidR="00420F2E">
        <w:t>Government</w:t>
      </w:r>
      <w:r w:rsidR="004127F3" w:rsidRPr="00805854">
        <w:t xml:space="preserve">’s proposed amendment </w:t>
      </w:r>
      <w:r w:rsidR="00F76E06" w:rsidRPr="00805854">
        <w:t>is clearly aimed at encouraging ISPs to reach private accommodations with right</w:t>
      </w:r>
      <w:r w:rsidR="00D11E8E">
        <w:t>s</w:t>
      </w:r>
      <w:r w:rsidR="00F76E06" w:rsidRPr="00805854">
        <w:t xml:space="preserve"> holders to assist them in enforcing their copyrights online. Assume the law is enacted and some or all Australian ISPs do enter </w:t>
      </w:r>
      <w:r w:rsidR="00F565EC">
        <w:t>into such</w:t>
      </w:r>
      <w:r w:rsidR="00F76E06" w:rsidRPr="00805854">
        <w:t xml:space="preserve"> accommodations</w:t>
      </w:r>
      <w:r w:rsidR="00F565EC">
        <w:t>.</w:t>
      </w:r>
      <w:r w:rsidR="00F76E06" w:rsidRPr="00805854">
        <w:t xml:space="preserve"> The current wording of the text, with its reference to  ‘</w:t>
      </w:r>
      <w:r w:rsidR="00F76E06" w:rsidRPr="00805854">
        <w:rPr>
          <w:rFonts w:eastAsiaTheme="minorEastAsia"/>
          <w:bCs/>
          <w:lang w:eastAsia="zh-CN"/>
        </w:rPr>
        <w:t xml:space="preserve">commercial arrangements entered into by </w:t>
      </w:r>
      <w:r w:rsidR="00F76E06" w:rsidRPr="00805854">
        <w:rPr>
          <w:rFonts w:eastAsiaTheme="minorEastAsia"/>
          <w:bCs/>
          <w:i/>
          <w:lang w:eastAsia="zh-CN"/>
        </w:rPr>
        <w:t>relevant parties</w:t>
      </w:r>
      <w:r w:rsidR="00F76E06" w:rsidRPr="00805854">
        <w:rPr>
          <w:rFonts w:eastAsiaTheme="minorEastAsia"/>
          <w:bCs/>
          <w:lang w:eastAsia="zh-CN"/>
        </w:rPr>
        <w:t>’ (emphasis added), opens the door to arguments that those deals are relevant to whether non-ISP organisations who provide internet access to the public have themselves failed to take reasonable steps to prevent infringement.</w:t>
      </w:r>
      <w:r w:rsidR="001E0626">
        <w:rPr>
          <w:rFonts w:eastAsiaTheme="minorEastAsia"/>
          <w:bCs/>
          <w:lang w:eastAsia="zh-CN"/>
        </w:rPr>
        <w:t xml:space="preserve"> </w:t>
      </w:r>
    </w:p>
    <w:p w14:paraId="6CFFB2B2" w14:textId="1B083A70" w:rsidR="00F76E06" w:rsidRDefault="002B6DB1" w:rsidP="00B42F73">
      <w:pPr>
        <w:jc w:val="both"/>
        <w:rPr>
          <w:rFonts w:eastAsiaTheme="minorEastAsia"/>
          <w:bCs/>
          <w:lang w:eastAsia="zh-CN"/>
        </w:rPr>
      </w:pPr>
      <w:r>
        <w:rPr>
          <w:rFonts w:eastAsiaTheme="minorEastAsia"/>
          <w:bCs/>
          <w:lang w:eastAsia="zh-CN"/>
        </w:rPr>
        <w:t xml:space="preserve">It would be highly undesirable for the liability of Australia’s </w:t>
      </w:r>
      <w:r w:rsidR="00F978EF">
        <w:rPr>
          <w:rFonts w:eastAsiaTheme="minorEastAsia"/>
          <w:bCs/>
          <w:lang w:eastAsia="zh-CN"/>
        </w:rPr>
        <w:t xml:space="preserve">public </w:t>
      </w:r>
      <w:r>
        <w:rPr>
          <w:rFonts w:eastAsiaTheme="minorEastAsia"/>
          <w:bCs/>
          <w:lang w:eastAsia="zh-CN"/>
        </w:rPr>
        <w:t>institutions</w:t>
      </w:r>
      <w:r w:rsidR="00F76E06" w:rsidRPr="00805854">
        <w:rPr>
          <w:rFonts w:eastAsiaTheme="minorEastAsia"/>
          <w:bCs/>
          <w:lang w:eastAsia="zh-CN"/>
        </w:rPr>
        <w:t xml:space="preserve"> </w:t>
      </w:r>
      <w:r>
        <w:rPr>
          <w:rFonts w:eastAsiaTheme="minorEastAsia"/>
          <w:bCs/>
          <w:lang w:eastAsia="zh-CN"/>
        </w:rPr>
        <w:t>to depend so much upon the actions of legal strangers. Libraries, schools, universities and</w:t>
      </w:r>
      <w:r w:rsidR="00F978EF">
        <w:rPr>
          <w:rFonts w:eastAsiaTheme="minorEastAsia"/>
          <w:bCs/>
          <w:lang w:eastAsia="zh-CN"/>
        </w:rPr>
        <w:t xml:space="preserve"> other public</w:t>
      </w:r>
      <w:r>
        <w:rPr>
          <w:rFonts w:eastAsiaTheme="minorEastAsia"/>
          <w:bCs/>
          <w:lang w:eastAsia="zh-CN"/>
        </w:rPr>
        <w:t xml:space="preserve"> </w:t>
      </w:r>
      <w:r w:rsidR="00F978EF">
        <w:rPr>
          <w:rFonts w:eastAsiaTheme="minorEastAsia"/>
          <w:bCs/>
          <w:lang w:eastAsia="zh-CN"/>
        </w:rPr>
        <w:t>Wi-Fi</w:t>
      </w:r>
      <w:r>
        <w:rPr>
          <w:rFonts w:eastAsiaTheme="minorEastAsia"/>
          <w:bCs/>
          <w:lang w:eastAsia="zh-CN"/>
        </w:rPr>
        <w:t xml:space="preserve"> access providers each have </w:t>
      </w:r>
      <w:r w:rsidR="00333181">
        <w:rPr>
          <w:rFonts w:eastAsiaTheme="minorEastAsia"/>
          <w:bCs/>
          <w:lang w:eastAsia="zh-CN"/>
        </w:rPr>
        <w:t xml:space="preserve">very </w:t>
      </w:r>
      <w:r>
        <w:rPr>
          <w:rFonts w:eastAsiaTheme="minorEastAsia"/>
          <w:bCs/>
          <w:lang w:eastAsia="zh-CN"/>
        </w:rPr>
        <w:t>different relationships with their customers, different kinds of expertise, and different technological, educational</w:t>
      </w:r>
      <w:r w:rsidR="00F978EF">
        <w:rPr>
          <w:rFonts w:eastAsiaTheme="minorEastAsia"/>
          <w:bCs/>
          <w:lang w:eastAsia="zh-CN"/>
        </w:rPr>
        <w:t>,</w:t>
      </w:r>
      <w:r>
        <w:rPr>
          <w:rFonts w:eastAsiaTheme="minorEastAsia"/>
          <w:bCs/>
          <w:lang w:eastAsia="zh-CN"/>
        </w:rPr>
        <w:t xml:space="preserve"> financial</w:t>
      </w:r>
      <w:r w:rsidR="00F978EF">
        <w:rPr>
          <w:rFonts w:eastAsiaTheme="minorEastAsia"/>
          <w:bCs/>
          <w:lang w:eastAsia="zh-CN"/>
        </w:rPr>
        <w:t xml:space="preserve"> and legal</w:t>
      </w:r>
      <w:r>
        <w:rPr>
          <w:rFonts w:eastAsiaTheme="minorEastAsia"/>
          <w:bCs/>
          <w:lang w:eastAsia="zh-CN"/>
        </w:rPr>
        <w:t xml:space="preserve"> capabilities</w:t>
      </w:r>
      <w:r w:rsidR="00F978EF">
        <w:rPr>
          <w:rFonts w:eastAsiaTheme="minorEastAsia"/>
          <w:bCs/>
          <w:lang w:eastAsia="zh-CN"/>
        </w:rPr>
        <w:t xml:space="preserve"> and constraints</w:t>
      </w:r>
      <w:r>
        <w:rPr>
          <w:rFonts w:eastAsiaTheme="minorEastAsia"/>
          <w:bCs/>
          <w:lang w:eastAsia="zh-CN"/>
        </w:rPr>
        <w:t xml:space="preserve">. </w:t>
      </w:r>
      <w:r w:rsidR="00333181">
        <w:rPr>
          <w:rFonts w:eastAsiaTheme="minorEastAsia"/>
          <w:bCs/>
          <w:lang w:eastAsia="zh-CN"/>
        </w:rPr>
        <w:t>Extending their legal obligations by</w:t>
      </w:r>
      <w:r>
        <w:rPr>
          <w:rFonts w:eastAsiaTheme="minorEastAsia"/>
          <w:bCs/>
          <w:lang w:eastAsia="zh-CN"/>
        </w:rPr>
        <w:t xml:space="preserve"> agreements </w:t>
      </w:r>
      <w:r w:rsidR="00333181">
        <w:rPr>
          <w:rFonts w:eastAsiaTheme="minorEastAsia"/>
          <w:bCs/>
          <w:lang w:eastAsia="zh-CN"/>
        </w:rPr>
        <w:t xml:space="preserve">to which they were not party may result in the imposition of inappropriate obligations, especially where confidentiality considerations or a lack of contextual evidence </w:t>
      </w:r>
      <w:r>
        <w:rPr>
          <w:rFonts w:eastAsiaTheme="minorEastAsia"/>
          <w:bCs/>
          <w:lang w:eastAsia="zh-CN"/>
        </w:rPr>
        <w:t xml:space="preserve">prevent the </w:t>
      </w:r>
      <w:r w:rsidR="00333181">
        <w:rPr>
          <w:rFonts w:eastAsiaTheme="minorEastAsia"/>
          <w:bCs/>
          <w:lang w:eastAsia="zh-CN"/>
        </w:rPr>
        <w:t xml:space="preserve">court from being able to ascertain the </w:t>
      </w:r>
      <w:r>
        <w:rPr>
          <w:rFonts w:eastAsiaTheme="minorEastAsia"/>
          <w:bCs/>
          <w:lang w:eastAsia="zh-CN"/>
        </w:rPr>
        <w:t>full matrix of circumstances</w:t>
      </w:r>
      <w:r w:rsidR="00333181">
        <w:rPr>
          <w:rFonts w:eastAsiaTheme="minorEastAsia"/>
          <w:bCs/>
          <w:lang w:eastAsia="zh-CN"/>
        </w:rPr>
        <w:t xml:space="preserve"> in which the agreement was reached. Despite the inappropriateness of extending liability in this manner, the proposal (as currently drafted) opens the door to precisely that.</w:t>
      </w:r>
      <w:r>
        <w:rPr>
          <w:rFonts w:eastAsiaTheme="minorEastAsia"/>
          <w:bCs/>
          <w:lang w:eastAsia="zh-CN"/>
        </w:rPr>
        <w:t xml:space="preserve"> </w:t>
      </w:r>
      <w:r w:rsidR="00B42F73">
        <w:rPr>
          <w:rFonts w:eastAsiaTheme="minorEastAsia"/>
          <w:bCs/>
          <w:lang w:eastAsia="zh-CN"/>
        </w:rPr>
        <w:t xml:space="preserve">In the absence of any formal process for negotiating industry codes and commercial arrangements, these groups seem unlikely to be represented at the negotiations, making it </w:t>
      </w:r>
      <w:r w:rsidR="00D70655">
        <w:rPr>
          <w:rFonts w:eastAsiaTheme="minorEastAsia"/>
          <w:bCs/>
          <w:lang w:eastAsia="zh-CN"/>
        </w:rPr>
        <w:t>impossible for them to protect their legitimate interests.</w:t>
      </w:r>
    </w:p>
    <w:p w14:paraId="218589E8" w14:textId="77777777" w:rsidR="00D70655" w:rsidRPr="00805854" w:rsidRDefault="00D70655" w:rsidP="00B42F73">
      <w:pPr>
        <w:jc w:val="both"/>
        <w:rPr>
          <w:rFonts w:eastAsiaTheme="minorEastAsia"/>
          <w:bCs/>
          <w:lang w:eastAsia="zh-CN"/>
        </w:rPr>
      </w:pPr>
    </w:p>
    <w:p w14:paraId="28774E40" w14:textId="77777777" w:rsidR="00F76E06" w:rsidRPr="00805854" w:rsidRDefault="004B4E92" w:rsidP="00D4413D">
      <w:pPr>
        <w:pStyle w:val="Heading3"/>
        <w:keepNext/>
        <w:spacing w:after="240"/>
        <w:jc w:val="both"/>
      </w:pPr>
      <w:bookmarkStart w:id="13" w:name="_Toc397245900"/>
      <w:r w:rsidRPr="00805854">
        <w:lastRenderedPageBreak/>
        <w:t>New obligations for libraries, schools, universities, cloud providers and more</w:t>
      </w:r>
      <w:bookmarkEnd w:id="13"/>
    </w:p>
    <w:p w14:paraId="0401C332" w14:textId="0D648AD9" w:rsidR="00581021" w:rsidRPr="00805854" w:rsidRDefault="00581021" w:rsidP="00D4413D">
      <w:pPr>
        <w:jc w:val="both"/>
        <w:rPr>
          <w:caps/>
          <w:lang w:eastAsia="zh-CN"/>
        </w:rPr>
      </w:pPr>
      <w:r w:rsidRPr="00805854">
        <w:t>The range of circumstances in which Australian intermediaries might face new liability under the proposed amendment is significant. The extended liability would apply not only to movie and music piracy, but to the full gamut of non-permitted uses. Thus, the forwarding of emails, sharing of photographs and memes online and stor</w:t>
      </w:r>
      <w:r w:rsidR="00D149D1" w:rsidRPr="00805854">
        <w:t xml:space="preserve">age of infringing </w:t>
      </w:r>
      <w:r w:rsidR="00B51D34">
        <w:t xml:space="preserve">(and not just pirated) </w:t>
      </w:r>
      <w:r w:rsidR="00D149D1" w:rsidRPr="00805854">
        <w:t xml:space="preserve">content on remote </w:t>
      </w:r>
      <w:r w:rsidRPr="00805854">
        <w:t xml:space="preserve">servers would all </w:t>
      </w:r>
      <w:r w:rsidR="00D149D1" w:rsidRPr="00805854">
        <w:t xml:space="preserve">potentially </w:t>
      </w:r>
      <w:r w:rsidRPr="00805854">
        <w:t>result in</w:t>
      </w:r>
      <w:r w:rsidR="004B4E92" w:rsidRPr="00805854">
        <w:t xml:space="preserve"> greater </w:t>
      </w:r>
      <w:r w:rsidR="00D149D1" w:rsidRPr="00805854">
        <w:t>liability for intermediaries than they face under the current law,</w:t>
      </w:r>
      <w:r w:rsidR="00650F8F" w:rsidRPr="00805854">
        <w:t xml:space="preserve"> as would </w:t>
      </w:r>
      <w:r w:rsidR="00D149D1" w:rsidRPr="00805854">
        <w:t xml:space="preserve">many other </w:t>
      </w:r>
      <w:r w:rsidR="00650F8F" w:rsidRPr="00805854">
        <w:t>uses involving copying or transmission</w:t>
      </w:r>
      <w:r w:rsidRPr="00805854">
        <w:t>. For example:</w:t>
      </w:r>
    </w:p>
    <w:p w14:paraId="52AA15C0" w14:textId="1ADCDABF" w:rsidR="002050E9" w:rsidRPr="00805854" w:rsidRDefault="002050E9" w:rsidP="00D4413D">
      <w:pPr>
        <w:pStyle w:val="ListBullet"/>
        <w:jc w:val="both"/>
        <w:rPr>
          <w:lang w:eastAsia="zh-CN"/>
        </w:rPr>
      </w:pPr>
      <w:r w:rsidRPr="00805854">
        <w:rPr>
          <w:b/>
        </w:rPr>
        <w:t>Libraries</w:t>
      </w:r>
      <w:r w:rsidR="005F2D1C" w:rsidRPr="00805854">
        <w:rPr>
          <w:b/>
        </w:rPr>
        <w:t>:</w:t>
      </w:r>
      <w:r w:rsidRPr="00805854">
        <w:t xml:space="preserve"> </w:t>
      </w:r>
      <w:r w:rsidR="005F2D1C" w:rsidRPr="00805854">
        <w:rPr>
          <w:lang w:eastAsia="zh-CN"/>
        </w:rPr>
        <w:t xml:space="preserve">lend out audio and audiovisual materials such as CDs, DVDs, and videos, </w:t>
      </w:r>
      <w:r w:rsidR="00BA0BC5">
        <w:rPr>
          <w:lang w:eastAsia="zh-CN"/>
        </w:rPr>
        <w:t>as well as literary works including books, ebooks, maps and journals. P</w:t>
      </w:r>
      <w:r w:rsidR="005F2D1C" w:rsidRPr="00805854">
        <w:rPr>
          <w:lang w:eastAsia="zh-CN"/>
        </w:rPr>
        <w:t>atrons may</w:t>
      </w:r>
      <w:r w:rsidR="00BA0BC5">
        <w:rPr>
          <w:lang w:eastAsia="zh-CN"/>
        </w:rPr>
        <w:t xml:space="preserve"> make infringing copies of these materials at home or in their workplace. </w:t>
      </w:r>
      <w:r w:rsidR="005F2D1C" w:rsidRPr="00805854">
        <w:rPr>
          <w:lang w:eastAsia="zh-CN"/>
        </w:rPr>
        <w:t xml:space="preserve">Libraries have no direct power to prevent such infringements. Under the amended law, would they be required to take measures such as limiting access to in-library use to avoid liability? Libraries also </w:t>
      </w:r>
      <w:r w:rsidR="00BA0BC5">
        <w:t xml:space="preserve">have many </w:t>
      </w:r>
      <w:r w:rsidR="005F2D1C" w:rsidRPr="00805854">
        <w:t xml:space="preserve">holdings, including books, sheet music, maps and genealogical records, which may be infringed </w:t>
      </w:r>
      <w:r w:rsidR="00BA0BC5">
        <w:t xml:space="preserve">within the library itself </w:t>
      </w:r>
      <w:r w:rsidR="005F2D1C" w:rsidRPr="00805854">
        <w:t>by patrons using smartphones to photograph pages. It may be argued that under the revised law they must take more positive steps to prevent patrons from doing so, for example by requiring phones to be given up in exchange for access to certain collections, posting new warning notices outlining the circumstances in which it might amount to infringement, requiring users to agree to new conditions of entry and/or requiring security staff to monitor for the practice during patrols.</w:t>
      </w:r>
      <w:r w:rsidR="00BA0BC5">
        <w:t xml:space="preserve"> Some libraries also provide patrons with access to copying technologies such as scanning equipment and CD/DVD burners on public computers, which are typically used for activities such as school projects and family genealogical research. The proposed change may make it unfeasible to continue to provide that public service.</w:t>
      </w:r>
    </w:p>
    <w:p w14:paraId="6211569E" w14:textId="44DA2279" w:rsidR="008852EA" w:rsidRPr="00805854" w:rsidRDefault="00D01A17" w:rsidP="000E4608">
      <w:pPr>
        <w:pStyle w:val="ListBullet"/>
        <w:jc w:val="both"/>
        <w:rPr>
          <w:lang w:eastAsia="zh-CN"/>
        </w:rPr>
      </w:pPr>
      <w:r w:rsidRPr="00805854">
        <w:rPr>
          <w:b/>
          <w:lang w:eastAsia="zh-CN"/>
        </w:rPr>
        <w:t>Search engines</w:t>
      </w:r>
      <w:r w:rsidR="005F2D1C" w:rsidRPr="00805854">
        <w:rPr>
          <w:b/>
          <w:lang w:eastAsia="zh-CN"/>
        </w:rPr>
        <w:t>:</w:t>
      </w:r>
      <w:r w:rsidRPr="00805854">
        <w:rPr>
          <w:lang w:eastAsia="zh-CN"/>
        </w:rPr>
        <w:t xml:space="preserve"> enable us</w:t>
      </w:r>
      <w:r w:rsidR="00A609C7" w:rsidRPr="00805854">
        <w:rPr>
          <w:lang w:eastAsia="zh-CN"/>
        </w:rPr>
        <w:t xml:space="preserve">ers to find content on the web, </w:t>
      </w:r>
      <w:r w:rsidR="005F2D1C" w:rsidRPr="00805854">
        <w:rPr>
          <w:lang w:eastAsia="zh-CN"/>
        </w:rPr>
        <w:t xml:space="preserve">some of which </w:t>
      </w:r>
      <w:r w:rsidR="00A609C7" w:rsidRPr="00805854">
        <w:rPr>
          <w:lang w:eastAsia="zh-CN"/>
        </w:rPr>
        <w:t xml:space="preserve">is infringing. </w:t>
      </w:r>
      <w:r w:rsidR="003C1936" w:rsidRPr="00805854">
        <w:rPr>
          <w:lang w:eastAsia="zh-CN"/>
        </w:rPr>
        <w:t xml:space="preserve">As they do not control what material is on the web, they cannot remove it. </w:t>
      </w:r>
      <w:r w:rsidR="005F2D1C" w:rsidRPr="00805854">
        <w:rPr>
          <w:lang w:eastAsia="zh-CN"/>
        </w:rPr>
        <w:t xml:space="preserve">They do however already </w:t>
      </w:r>
      <w:r w:rsidR="008852EA" w:rsidRPr="00805854">
        <w:rPr>
          <w:lang w:eastAsia="zh-CN"/>
        </w:rPr>
        <w:t xml:space="preserve">take steps to limit </w:t>
      </w:r>
      <w:r w:rsidR="008852EA" w:rsidRPr="00805854">
        <w:rPr>
          <w:i/>
          <w:iCs/>
          <w:lang w:eastAsia="zh-CN"/>
        </w:rPr>
        <w:t>access</w:t>
      </w:r>
      <w:r w:rsidR="008852EA" w:rsidRPr="00805854">
        <w:rPr>
          <w:lang w:eastAsia="zh-CN"/>
        </w:rPr>
        <w:t xml:space="preserve"> to infringing content. For example, </w:t>
      </w:r>
      <w:r w:rsidRPr="00805854">
        <w:rPr>
          <w:lang w:eastAsia="zh-CN"/>
        </w:rPr>
        <w:t>Google</w:t>
      </w:r>
      <w:r w:rsidR="005F2D1C" w:rsidRPr="00805854">
        <w:rPr>
          <w:lang w:eastAsia="zh-CN"/>
        </w:rPr>
        <w:t xml:space="preserve"> removes some 4 million</w:t>
      </w:r>
      <w:r w:rsidR="00165731" w:rsidRPr="00805854">
        <w:rPr>
          <w:lang w:eastAsia="zh-CN"/>
        </w:rPr>
        <w:t xml:space="preserve"> links to infringing material each week upon request from right</w:t>
      </w:r>
      <w:r w:rsidR="00EA3F07">
        <w:rPr>
          <w:lang w:eastAsia="zh-CN"/>
        </w:rPr>
        <w:t xml:space="preserve">s </w:t>
      </w:r>
      <w:r w:rsidR="00165731" w:rsidRPr="00805854">
        <w:rPr>
          <w:lang w:eastAsia="zh-CN"/>
        </w:rPr>
        <w:t>holders, and its</w:t>
      </w:r>
      <w:r w:rsidR="008852EA" w:rsidRPr="00805854">
        <w:rPr>
          <w:lang w:eastAsia="zh-CN"/>
        </w:rPr>
        <w:t xml:space="preserve"> search algorithm deprioritizes </w:t>
      </w:r>
      <w:r w:rsidR="00165731" w:rsidRPr="00805854">
        <w:rPr>
          <w:lang w:eastAsia="zh-CN"/>
        </w:rPr>
        <w:t>results for sites</w:t>
      </w:r>
      <w:r w:rsidR="008852EA" w:rsidRPr="00805854">
        <w:rPr>
          <w:lang w:eastAsia="zh-CN"/>
        </w:rPr>
        <w:t xml:space="preserve"> that have been </w:t>
      </w:r>
      <w:r w:rsidR="00165731" w:rsidRPr="00805854">
        <w:rPr>
          <w:lang w:eastAsia="zh-CN"/>
        </w:rPr>
        <w:t xml:space="preserve">repeatedly </w:t>
      </w:r>
      <w:r w:rsidR="008852EA" w:rsidRPr="00805854">
        <w:rPr>
          <w:lang w:eastAsia="zh-CN"/>
        </w:rPr>
        <w:t xml:space="preserve">reported to contain infringing material. </w:t>
      </w:r>
      <w:r w:rsidR="00A609C7" w:rsidRPr="00805854">
        <w:rPr>
          <w:lang w:eastAsia="zh-CN"/>
        </w:rPr>
        <w:t xml:space="preserve">Under the amended law, </w:t>
      </w:r>
      <w:r w:rsidR="0036549F" w:rsidRPr="00805854">
        <w:rPr>
          <w:lang w:eastAsia="zh-CN"/>
        </w:rPr>
        <w:t>right</w:t>
      </w:r>
      <w:r w:rsidR="00EA3F07">
        <w:rPr>
          <w:lang w:eastAsia="zh-CN"/>
        </w:rPr>
        <w:t xml:space="preserve">s </w:t>
      </w:r>
      <w:r w:rsidR="0036549F" w:rsidRPr="00805854">
        <w:rPr>
          <w:lang w:eastAsia="zh-CN"/>
        </w:rPr>
        <w:t xml:space="preserve">holders would be in a position to exert pressure on </w:t>
      </w:r>
      <w:r w:rsidR="00E9613A" w:rsidRPr="00805854">
        <w:rPr>
          <w:lang w:eastAsia="zh-CN"/>
        </w:rPr>
        <w:t>search engines</w:t>
      </w:r>
      <w:r w:rsidR="0036549F" w:rsidRPr="00805854">
        <w:rPr>
          <w:lang w:eastAsia="zh-CN"/>
        </w:rPr>
        <w:t xml:space="preserve"> to </w:t>
      </w:r>
      <w:r w:rsidR="00A609C7" w:rsidRPr="00805854">
        <w:rPr>
          <w:lang w:eastAsia="zh-CN"/>
        </w:rPr>
        <w:t xml:space="preserve">go further – </w:t>
      </w:r>
      <w:r w:rsidR="00A81D33" w:rsidRPr="00805854">
        <w:rPr>
          <w:lang w:eastAsia="zh-CN"/>
        </w:rPr>
        <w:t xml:space="preserve">for example, </w:t>
      </w:r>
      <w:r w:rsidR="00A609C7" w:rsidRPr="00805854">
        <w:rPr>
          <w:lang w:eastAsia="zh-CN"/>
        </w:rPr>
        <w:t>to proactively scan for</w:t>
      </w:r>
      <w:r w:rsidR="00A81D33" w:rsidRPr="00805854">
        <w:rPr>
          <w:lang w:eastAsia="zh-CN"/>
        </w:rPr>
        <w:t xml:space="preserve"> links that might potentially be infringing rather than relying o</w:t>
      </w:r>
      <w:r w:rsidR="003C1936" w:rsidRPr="00805854">
        <w:rPr>
          <w:lang w:eastAsia="zh-CN"/>
        </w:rPr>
        <w:t>n being alerted by right</w:t>
      </w:r>
      <w:r w:rsidR="00EA3F07">
        <w:rPr>
          <w:lang w:eastAsia="zh-CN"/>
        </w:rPr>
        <w:t xml:space="preserve">s </w:t>
      </w:r>
      <w:r w:rsidR="003C1936" w:rsidRPr="00805854">
        <w:rPr>
          <w:lang w:eastAsia="zh-CN"/>
        </w:rPr>
        <w:t>holders, or remove sites that</w:t>
      </w:r>
      <w:r w:rsidR="005857D0" w:rsidRPr="00805854">
        <w:rPr>
          <w:lang w:eastAsia="zh-CN"/>
        </w:rPr>
        <w:t xml:space="preserve"> have been associated with infringement altogether. This has significant potential to interfere with non-infringing uses, </w:t>
      </w:r>
      <w:r w:rsidR="005F2D1C" w:rsidRPr="00805854">
        <w:rPr>
          <w:lang w:eastAsia="zh-CN"/>
        </w:rPr>
        <w:t>and could foreseeably</w:t>
      </w:r>
      <w:r w:rsidR="005857D0" w:rsidRPr="00805854">
        <w:rPr>
          <w:lang w:eastAsia="zh-CN"/>
        </w:rPr>
        <w:t xml:space="preserve"> </w:t>
      </w:r>
      <w:r w:rsidR="00F805BC" w:rsidRPr="00805854">
        <w:rPr>
          <w:lang w:eastAsia="zh-CN"/>
        </w:rPr>
        <w:t>result in unrelated sites hosted on the same domain</w:t>
      </w:r>
      <w:r w:rsidR="003C1936" w:rsidRPr="00805854">
        <w:rPr>
          <w:lang w:eastAsia="zh-CN"/>
        </w:rPr>
        <w:t xml:space="preserve"> </w:t>
      </w:r>
      <w:r w:rsidR="00F805BC" w:rsidRPr="00805854">
        <w:rPr>
          <w:lang w:eastAsia="zh-CN"/>
        </w:rPr>
        <w:t>being lost to the index.</w:t>
      </w:r>
      <w:r w:rsidR="00F978EF">
        <w:rPr>
          <w:lang w:eastAsia="zh-CN"/>
        </w:rPr>
        <w:t xml:space="preserve"> </w:t>
      </w:r>
      <w:r w:rsidR="00E84112">
        <w:rPr>
          <w:lang w:eastAsia="zh-CN"/>
        </w:rPr>
        <w:t>The very nature of the internet also means that blocking and filtering impose hidden costs which may not be apparent to courts.</w:t>
      </w:r>
      <w:r w:rsidR="00E84112">
        <w:rPr>
          <w:rStyle w:val="FootnoteReference"/>
          <w:lang w:eastAsia="zh-CN"/>
        </w:rPr>
        <w:footnoteReference w:id="50"/>
      </w:r>
      <w:r w:rsidR="00E84112">
        <w:rPr>
          <w:lang w:eastAsia="zh-CN"/>
        </w:rPr>
        <w:t xml:space="preserve"> All of t</w:t>
      </w:r>
      <w:r w:rsidR="00E7306B">
        <w:rPr>
          <w:lang w:eastAsia="zh-CN"/>
        </w:rPr>
        <w:t>hese costs would again be imposed without any clear identification of the benefits likely to be obtained in return</w:t>
      </w:r>
      <w:r w:rsidR="00E84112">
        <w:rPr>
          <w:lang w:eastAsia="zh-CN"/>
        </w:rPr>
        <w:t xml:space="preserve">. </w:t>
      </w:r>
    </w:p>
    <w:p w14:paraId="55904877" w14:textId="3BDA9B81" w:rsidR="0036131C" w:rsidRDefault="004F32D3" w:rsidP="003753D2">
      <w:pPr>
        <w:pStyle w:val="ListBullet"/>
        <w:rPr>
          <w:lang w:eastAsia="zh-CN"/>
        </w:rPr>
      </w:pPr>
      <w:r w:rsidRPr="00DA3435">
        <w:rPr>
          <w:b/>
          <w:lang w:eastAsia="zh-CN"/>
        </w:rPr>
        <w:t xml:space="preserve">Consumer electronics and software companies: </w:t>
      </w:r>
      <w:r w:rsidRPr="00093348">
        <w:rPr>
          <w:lang w:eastAsia="zh-CN"/>
        </w:rPr>
        <w:t xml:space="preserve">design products that are capable of </w:t>
      </w:r>
      <w:r w:rsidR="00F978EF">
        <w:rPr>
          <w:lang w:eastAsia="zh-CN"/>
        </w:rPr>
        <w:t>copying</w:t>
      </w:r>
      <w:r w:rsidR="00F978EF" w:rsidRPr="00093348">
        <w:rPr>
          <w:lang w:eastAsia="zh-CN"/>
        </w:rPr>
        <w:t xml:space="preserve"> </w:t>
      </w:r>
      <w:r w:rsidRPr="00093348">
        <w:rPr>
          <w:lang w:eastAsia="zh-CN"/>
        </w:rPr>
        <w:t xml:space="preserve">or transmitting copyright material, such as video recorders. </w:t>
      </w:r>
      <w:r w:rsidR="00D01C86">
        <w:rPr>
          <w:lang w:eastAsia="zh-CN"/>
        </w:rPr>
        <w:t xml:space="preserve">Australia’s expansive copyright laws have already </w:t>
      </w:r>
      <w:r w:rsidR="0036131C">
        <w:rPr>
          <w:lang w:eastAsia="zh-CN"/>
        </w:rPr>
        <w:t>limited the technologies available to consumers. TiVo, for example, launched here a decade later than in the US, with a severely limited feature list.</w:t>
      </w:r>
      <w:r w:rsidR="0036131C" w:rsidRPr="0036131C">
        <w:rPr>
          <w:vertAlign w:val="superscript"/>
          <w:lang w:eastAsia="zh-CN"/>
        </w:rPr>
        <w:footnoteReference w:id="51"/>
      </w:r>
      <w:r w:rsidR="0036131C">
        <w:rPr>
          <w:lang w:eastAsia="zh-CN"/>
        </w:rPr>
        <w:t xml:space="preserve"> Cloud providers face more liability in Australia than in many overseas jurisdiction because </w:t>
      </w:r>
      <w:r w:rsidR="00552D45">
        <w:rPr>
          <w:lang w:eastAsia="zh-CN"/>
        </w:rPr>
        <w:t>an</w:t>
      </w:r>
      <w:r w:rsidR="0036131C">
        <w:rPr>
          <w:lang w:eastAsia="zh-CN"/>
        </w:rPr>
        <w:t xml:space="preserve"> expansive reading</w:t>
      </w:r>
      <w:r w:rsidR="00552D45">
        <w:rPr>
          <w:lang w:eastAsia="zh-CN"/>
        </w:rPr>
        <w:t xml:space="preserve"> of the Copyright Act </w:t>
      </w:r>
      <w:r w:rsidR="003753D2">
        <w:rPr>
          <w:lang w:eastAsia="zh-CN"/>
        </w:rPr>
        <w:t>potentially imposes</w:t>
      </w:r>
      <w:r w:rsidR="00552D45">
        <w:rPr>
          <w:lang w:eastAsia="zh-CN"/>
        </w:rPr>
        <w:t xml:space="preserve"> direct (as well as secondary) liability for their users’ infringements.</w:t>
      </w:r>
      <w:r w:rsidR="00552D45">
        <w:rPr>
          <w:rStyle w:val="FootnoteReference"/>
          <w:lang w:eastAsia="zh-CN"/>
        </w:rPr>
        <w:footnoteReference w:id="52"/>
      </w:r>
      <w:r w:rsidR="00DA3435">
        <w:rPr>
          <w:lang w:eastAsia="zh-CN"/>
        </w:rPr>
        <w:t xml:space="preserve"> The proposed changes would expand that liability further still. </w:t>
      </w:r>
      <w:r w:rsidR="00DA3435" w:rsidRPr="00DA3435">
        <w:rPr>
          <w:lang w:eastAsia="zh-CN"/>
        </w:rPr>
        <w:t xml:space="preserve">Would </w:t>
      </w:r>
      <w:r w:rsidR="005E43E9">
        <w:rPr>
          <w:lang w:eastAsia="zh-CN"/>
        </w:rPr>
        <w:t xml:space="preserve">technology providers </w:t>
      </w:r>
      <w:r w:rsidR="00DA3435" w:rsidRPr="00DA3435">
        <w:rPr>
          <w:lang w:eastAsia="zh-CN"/>
        </w:rPr>
        <w:t>be obliged to design their technology</w:t>
      </w:r>
      <w:r w:rsidR="005E43E9">
        <w:rPr>
          <w:lang w:eastAsia="zh-CN"/>
        </w:rPr>
        <w:t xml:space="preserve"> differently</w:t>
      </w:r>
      <w:r w:rsidR="00DA3435" w:rsidRPr="00DA3435">
        <w:rPr>
          <w:lang w:eastAsia="zh-CN"/>
        </w:rPr>
        <w:t xml:space="preserve"> so as to reduce the impact of infringement? To what extent would that obligation trump the desirability of making these technologies available for non-infringing uses?</w:t>
      </w:r>
    </w:p>
    <w:p w14:paraId="4E34CC81" w14:textId="5B8BB147" w:rsidR="00C47A14" w:rsidRPr="00805854" w:rsidRDefault="005F2D1C" w:rsidP="00DA3435">
      <w:pPr>
        <w:pStyle w:val="ListBullet"/>
        <w:rPr>
          <w:lang w:eastAsia="zh-CN"/>
        </w:rPr>
      </w:pPr>
      <w:r w:rsidRPr="00805854">
        <w:rPr>
          <w:b/>
          <w:lang w:eastAsia="zh-CN"/>
        </w:rPr>
        <w:lastRenderedPageBreak/>
        <w:t>Other</w:t>
      </w:r>
      <w:r w:rsidR="004F32D3">
        <w:rPr>
          <w:b/>
          <w:lang w:eastAsia="zh-CN"/>
        </w:rPr>
        <w:t xml:space="preserve"> Australian</w:t>
      </w:r>
      <w:r w:rsidRPr="00805854">
        <w:rPr>
          <w:b/>
          <w:lang w:eastAsia="zh-CN"/>
        </w:rPr>
        <w:t xml:space="preserve"> businesses:</w:t>
      </w:r>
      <w:r w:rsidRPr="00805854">
        <w:rPr>
          <w:lang w:eastAsia="zh-CN"/>
        </w:rPr>
        <w:t xml:space="preserve"> </w:t>
      </w:r>
      <w:r w:rsidR="00A81D33" w:rsidRPr="00805854">
        <w:rPr>
          <w:lang w:eastAsia="zh-CN"/>
        </w:rPr>
        <w:t>sell technologies</w:t>
      </w:r>
      <w:r w:rsidR="00711A8E" w:rsidRPr="00805854">
        <w:rPr>
          <w:lang w:eastAsia="zh-CN"/>
        </w:rPr>
        <w:t xml:space="preserve"> that can be put to infringing use, like blank CDs and DVDs, USB keys</w:t>
      </w:r>
      <w:r w:rsidR="00A81D33" w:rsidRPr="00805854">
        <w:rPr>
          <w:lang w:eastAsia="zh-CN"/>
        </w:rPr>
        <w:t xml:space="preserve">, </w:t>
      </w:r>
      <w:r w:rsidR="00711A8E" w:rsidRPr="00805854">
        <w:rPr>
          <w:lang w:eastAsia="zh-CN"/>
        </w:rPr>
        <w:t xml:space="preserve">and </w:t>
      </w:r>
      <w:r w:rsidR="00A81D33" w:rsidRPr="00805854">
        <w:rPr>
          <w:lang w:eastAsia="zh-CN"/>
        </w:rPr>
        <w:t>CD/DVD burners</w:t>
      </w:r>
      <w:r w:rsidR="00711A8E" w:rsidRPr="00805854">
        <w:rPr>
          <w:lang w:eastAsia="zh-CN"/>
        </w:rPr>
        <w:t>. Under the current law, their</w:t>
      </w:r>
      <w:r w:rsidR="00A066A1">
        <w:rPr>
          <w:lang w:eastAsia="zh-CN"/>
        </w:rPr>
        <w:t xml:space="preserve"> lack of</w:t>
      </w:r>
      <w:r w:rsidR="00711A8E" w:rsidRPr="00805854">
        <w:rPr>
          <w:lang w:eastAsia="zh-CN"/>
        </w:rPr>
        <w:t xml:space="preserve"> power to prevent the infringement and </w:t>
      </w:r>
      <w:r w:rsidR="000006D9" w:rsidRPr="00805854">
        <w:rPr>
          <w:lang w:eastAsia="zh-CN"/>
        </w:rPr>
        <w:t>general lack of involvement in any resulting infringement mean they are not required to take any steps to limit them.</w:t>
      </w:r>
      <w:r w:rsidR="00A066A1">
        <w:rPr>
          <w:rStyle w:val="FootnoteReference"/>
          <w:lang w:eastAsia="zh-CN"/>
        </w:rPr>
        <w:footnoteReference w:id="53"/>
      </w:r>
      <w:r w:rsidR="000006D9" w:rsidRPr="00805854">
        <w:rPr>
          <w:lang w:eastAsia="zh-CN"/>
        </w:rPr>
        <w:t xml:space="preserve"> Under the revised law they may </w:t>
      </w:r>
      <w:r w:rsidR="0036549F" w:rsidRPr="00805854">
        <w:rPr>
          <w:lang w:eastAsia="zh-CN"/>
        </w:rPr>
        <w:t>be obliged</w:t>
      </w:r>
      <w:r w:rsidR="000006D9" w:rsidRPr="00805854">
        <w:rPr>
          <w:lang w:eastAsia="zh-CN"/>
        </w:rPr>
        <w:t xml:space="preserve"> to do more</w:t>
      </w:r>
      <w:r w:rsidR="0036549F" w:rsidRPr="00805854">
        <w:rPr>
          <w:lang w:eastAsia="zh-CN"/>
        </w:rPr>
        <w:t xml:space="preserve"> to avoid liability</w:t>
      </w:r>
      <w:r w:rsidR="00A31C6E" w:rsidRPr="00805854">
        <w:rPr>
          <w:lang w:eastAsia="zh-CN"/>
        </w:rPr>
        <w:t>, such as posting notices warning against infringement, or requiring prospective purchasers to agree not to put them to infringing use.</w:t>
      </w:r>
      <w:r w:rsidR="00711A8E" w:rsidRPr="00805854">
        <w:rPr>
          <w:lang w:eastAsia="zh-CN"/>
        </w:rPr>
        <w:t xml:space="preserve"> </w:t>
      </w:r>
      <w:r w:rsidR="00867BE3" w:rsidRPr="00805854">
        <w:rPr>
          <w:lang w:eastAsia="zh-CN"/>
        </w:rPr>
        <w:t xml:space="preserve">Manufacturers </w:t>
      </w:r>
      <w:r w:rsidR="00437F93" w:rsidRPr="00805854">
        <w:rPr>
          <w:lang w:eastAsia="zh-CN"/>
        </w:rPr>
        <w:t xml:space="preserve">and importers </w:t>
      </w:r>
      <w:r w:rsidR="00867BE3" w:rsidRPr="00805854">
        <w:rPr>
          <w:lang w:eastAsia="zh-CN"/>
        </w:rPr>
        <w:t xml:space="preserve">of </w:t>
      </w:r>
      <w:r w:rsidR="00437F93" w:rsidRPr="00805854">
        <w:rPr>
          <w:lang w:eastAsia="zh-CN"/>
        </w:rPr>
        <w:t>copying technologies may also face new pressure to limit their functionality to make them</w:t>
      </w:r>
      <w:r w:rsidR="004B4E92" w:rsidRPr="00805854">
        <w:rPr>
          <w:lang w:eastAsia="zh-CN"/>
        </w:rPr>
        <w:t xml:space="preserve"> less useful for infringement, </w:t>
      </w:r>
      <w:r w:rsidR="001822E5" w:rsidRPr="00805854">
        <w:rPr>
          <w:lang w:eastAsia="zh-CN"/>
        </w:rPr>
        <w:t xml:space="preserve">with </w:t>
      </w:r>
      <w:r w:rsidRPr="00805854">
        <w:rPr>
          <w:lang w:eastAsia="zh-CN"/>
        </w:rPr>
        <w:t>the potential to</w:t>
      </w:r>
      <w:r w:rsidR="00437F93" w:rsidRPr="00805854">
        <w:rPr>
          <w:lang w:eastAsia="zh-CN"/>
        </w:rPr>
        <w:t xml:space="preserve"> also impact on their </w:t>
      </w:r>
      <w:r w:rsidRPr="00805854">
        <w:rPr>
          <w:lang w:eastAsia="zh-CN"/>
        </w:rPr>
        <w:t xml:space="preserve">availability for </w:t>
      </w:r>
      <w:r w:rsidR="00437F93" w:rsidRPr="00805854">
        <w:rPr>
          <w:lang w:eastAsia="zh-CN"/>
        </w:rPr>
        <w:t>non-infringing use.</w:t>
      </w:r>
    </w:p>
    <w:p w14:paraId="5A965A49" w14:textId="13226FD4" w:rsidR="00D01A17" w:rsidRPr="00805854" w:rsidRDefault="003730F3" w:rsidP="00FF36D5">
      <w:pPr>
        <w:pStyle w:val="ListBullet"/>
        <w:jc w:val="both"/>
        <w:rPr>
          <w:lang w:eastAsia="zh-CN"/>
        </w:rPr>
      </w:pPr>
      <w:r w:rsidRPr="00805854">
        <w:rPr>
          <w:b/>
          <w:lang w:eastAsia="zh-CN"/>
        </w:rPr>
        <w:t>Government departments, universities, schools</w:t>
      </w:r>
      <w:r w:rsidR="00BA0BC5">
        <w:rPr>
          <w:b/>
          <w:lang w:eastAsia="zh-CN"/>
        </w:rPr>
        <w:t>, libraries</w:t>
      </w:r>
      <w:r w:rsidR="005F2D1C" w:rsidRPr="00805854">
        <w:rPr>
          <w:b/>
          <w:lang w:eastAsia="zh-CN"/>
        </w:rPr>
        <w:t xml:space="preserve"> and commercial providers:</w:t>
      </w:r>
      <w:r w:rsidR="00BD184B" w:rsidRPr="00805854">
        <w:rPr>
          <w:lang w:eastAsia="zh-CN"/>
        </w:rPr>
        <w:t xml:space="preserve"> commonly provide remote or cloud-based</w:t>
      </w:r>
      <w:r w:rsidR="005F2D1C" w:rsidRPr="00805854">
        <w:rPr>
          <w:lang w:eastAsia="zh-CN"/>
        </w:rPr>
        <w:t xml:space="preserve"> digital storage to their staff, </w:t>
      </w:r>
      <w:r w:rsidR="00BD184B" w:rsidRPr="00805854">
        <w:rPr>
          <w:lang w:eastAsia="zh-CN"/>
        </w:rPr>
        <w:t>students,</w:t>
      </w:r>
      <w:r w:rsidR="005F2D1C" w:rsidRPr="00805854">
        <w:rPr>
          <w:lang w:eastAsia="zh-CN"/>
        </w:rPr>
        <w:t xml:space="preserve"> or customers.</w:t>
      </w:r>
      <w:r w:rsidR="000F21B7" w:rsidRPr="00805854">
        <w:rPr>
          <w:lang w:eastAsia="zh-CN"/>
        </w:rPr>
        <w:t xml:space="preserve"> Under the revised law,</w:t>
      </w:r>
      <w:r w:rsidR="00E9613A" w:rsidRPr="00805854">
        <w:rPr>
          <w:lang w:eastAsia="zh-CN"/>
        </w:rPr>
        <w:t xml:space="preserve"> would</w:t>
      </w:r>
      <w:r w:rsidR="000F21B7" w:rsidRPr="00805854">
        <w:rPr>
          <w:lang w:eastAsia="zh-CN"/>
        </w:rPr>
        <w:t xml:space="preserve"> </w:t>
      </w:r>
      <w:r w:rsidR="00FF36D5">
        <w:rPr>
          <w:lang w:eastAsia="zh-CN"/>
        </w:rPr>
        <w:t>intermediaries</w:t>
      </w:r>
      <w:r w:rsidR="000F21B7" w:rsidRPr="00805854">
        <w:rPr>
          <w:lang w:eastAsia="zh-CN"/>
        </w:rPr>
        <w:t xml:space="preserve"> have</w:t>
      </w:r>
      <w:r w:rsidR="00576C59" w:rsidRPr="00805854">
        <w:rPr>
          <w:lang w:eastAsia="zh-CN"/>
        </w:rPr>
        <w:t xml:space="preserve"> new</w:t>
      </w:r>
      <w:r w:rsidR="000F21B7" w:rsidRPr="00805854">
        <w:rPr>
          <w:lang w:eastAsia="zh-CN"/>
        </w:rPr>
        <w:t xml:space="preserve"> positive obligation</w:t>
      </w:r>
      <w:r w:rsidR="00576C59" w:rsidRPr="00805854">
        <w:rPr>
          <w:lang w:eastAsia="zh-CN"/>
        </w:rPr>
        <w:t>s</w:t>
      </w:r>
      <w:r w:rsidR="00D149D1" w:rsidRPr="00805854">
        <w:rPr>
          <w:lang w:eastAsia="zh-CN"/>
        </w:rPr>
        <w:t xml:space="preserve"> like scanning for and blocking</w:t>
      </w:r>
      <w:r w:rsidR="000F21B7" w:rsidRPr="00805854">
        <w:rPr>
          <w:lang w:eastAsia="zh-CN"/>
        </w:rPr>
        <w:t xml:space="preserve"> infringing material that has been uploa</w:t>
      </w:r>
      <w:r w:rsidR="00E9613A" w:rsidRPr="00805854">
        <w:rPr>
          <w:lang w:eastAsia="zh-CN"/>
        </w:rPr>
        <w:t>ded by users?</w:t>
      </w:r>
      <w:r w:rsidR="00437F93" w:rsidRPr="00805854">
        <w:rPr>
          <w:lang w:eastAsia="zh-CN"/>
        </w:rPr>
        <w:t xml:space="preserve"> </w:t>
      </w:r>
    </w:p>
    <w:p w14:paraId="55129229" w14:textId="1428129B" w:rsidR="003730F3" w:rsidRPr="00805854" w:rsidRDefault="003730F3" w:rsidP="00D4413D">
      <w:pPr>
        <w:pStyle w:val="ListBullet"/>
        <w:jc w:val="both"/>
        <w:rPr>
          <w:lang w:eastAsia="zh-CN"/>
        </w:rPr>
      </w:pPr>
      <w:r w:rsidRPr="00805854">
        <w:rPr>
          <w:b/>
          <w:lang w:eastAsia="zh-CN"/>
        </w:rPr>
        <w:t>Schools, universities, libraries and businesses of all kinds</w:t>
      </w:r>
      <w:r w:rsidR="005F2D1C" w:rsidRPr="00805854">
        <w:rPr>
          <w:b/>
          <w:lang w:eastAsia="zh-CN"/>
        </w:rPr>
        <w:t>:</w:t>
      </w:r>
      <w:r w:rsidRPr="00805854">
        <w:rPr>
          <w:lang w:eastAsia="zh-CN"/>
        </w:rPr>
        <w:t xml:space="preserve"> regularly supply email facilities to their employees and users. Under existing Australian law, forwarding emails </w:t>
      </w:r>
      <w:r w:rsidR="002E65D2">
        <w:rPr>
          <w:lang w:eastAsia="zh-CN"/>
        </w:rPr>
        <w:t>can</w:t>
      </w:r>
      <w:r w:rsidR="002E65D2" w:rsidRPr="00805854">
        <w:rPr>
          <w:lang w:eastAsia="zh-CN"/>
        </w:rPr>
        <w:t xml:space="preserve"> </w:t>
      </w:r>
      <w:r w:rsidRPr="00805854">
        <w:rPr>
          <w:lang w:eastAsia="zh-CN"/>
        </w:rPr>
        <w:t xml:space="preserve">amount to an infringement of the copyright in the original.  Organisations have no power to prevent this, short of removing the ‘forward’ functionality altogether. </w:t>
      </w:r>
      <w:r w:rsidR="00581021" w:rsidRPr="00805854">
        <w:rPr>
          <w:lang w:eastAsia="zh-CN"/>
        </w:rPr>
        <w:t>If this is litigated, perhaps because</w:t>
      </w:r>
      <w:r w:rsidR="004127F3" w:rsidRPr="00805854">
        <w:rPr>
          <w:lang w:eastAsia="zh-CN"/>
        </w:rPr>
        <w:t xml:space="preserve"> of a case involving a confidential</w:t>
      </w:r>
      <w:r w:rsidR="001822E5" w:rsidRPr="00805854">
        <w:rPr>
          <w:lang w:eastAsia="zh-CN"/>
        </w:rPr>
        <w:t>, commercially valuable</w:t>
      </w:r>
      <w:r w:rsidR="004127F3" w:rsidRPr="00805854">
        <w:rPr>
          <w:lang w:eastAsia="zh-CN"/>
        </w:rPr>
        <w:t xml:space="preserve"> or sensitive message</w:t>
      </w:r>
      <w:r w:rsidR="00581021" w:rsidRPr="00805854">
        <w:rPr>
          <w:lang w:eastAsia="zh-CN"/>
        </w:rPr>
        <w:t>, it</w:t>
      </w:r>
      <w:r w:rsidR="00D149D1" w:rsidRPr="00805854">
        <w:rPr>
          <w:lang w:eastAsia="zh-CN"/>
        </w:rPr>
        <w:t xml:space="preserve"> might</w:t>
      </w:r>
      <w:r w:rsidR="00581021" w:rsidRPr="00805854">
        <w:rPr>
          <w:lang w:eastAsia="zh-CN"/>
        </w:rPr>
        <w:t xml:space="preserve"> be argued that it was </w:t>
      </w:r>
      <w:r w:rsidRPr="00805854">
        <w:rPr>
          <w:lang w:eastAsia="zh-CN"/>
        </w:rPr>
        <w:t>a ‘reasonable step’ to require a pop-up window to display a warning each time a</w:t>
      </w:r>
      <w:r w:rsidR="00D149D1" w:rsidRPr="00805854">
        <w:rPr>
          <w:lang w:eastAsia="zh-CN"/>
        </w:rPr>
        <w:t xml:space="preserve"> user seeks to forward an email,</w:t>
      </w:r>
      <w:r w:rsidR="007E670A" w:rsidRPr="00805854">
        <w:rPr>
          <w:lang w:eastAsia="zh-CN"/>
        </w:rPr>
        <w:t xml:space="preserve"> </w:t>
      </w:r>
      <w:r w:rsidR="00D149D1" w:rsidRPr="00805854">
        <w:rPr>
          <w:lang w:eastAsia="zh-CN"/>
        </w:rPr>
        <w:t>or for the relevant organisation to have provided</w:t>
      </w:r>
      <w:r w:rsidR="004127F3" w:rsidRPr="00805854">
        <w:rPr>
          <w:lang w:eastAsia="zh-CN"/>
        </w:rPr>
        <w:t xml:space="preserve"> more training for users ab</w:t>
      </w:r>
      <w:r w:rsidR="00D149D1" w:rsidRPr="00805854">
        <w:rPr>
          <w:lang w:eastAsia="zh-CN"/>
        </w:rPr>
        <w:t>out their copyright obligations.</w:t>
      </w:r>
    </w:p>
    <w:p w14:paraId="447E2176" w14:textId="3C7519E8" w:rsidR="00AB1F67" w:rsidRDefault="005F2D1C" w:rsidP="00D4413D">
      <w:pPr>
        <w:pStyle w:val="ListBullet"/>
        <w:jc w:val="both"/>
        <w:rPr>
          <w:lang w:eastAsia="zh-CN"/>
        </w:rPr>
      </w:pPr>
      <w:r w:rsidRPr="00F62C73">
        <w:rPr>
          <w:b/>
          <w:lang w:eastAsia="zh-CN"/>
        </w:rPr>
        <w:t>Schools:</w:t>
      </w:r>
      <w:r w:rsidRPr="00805854">
        <w:rPr>
          <w:lang w:eastAsia="zh-CN"/>
        </w:rPr>
        <w:t xml:space="preserve"> provide equipment and resources (including internet access, remote storage, interactive whiteboards, tablet computers, photocopiers, software and course packs) which students might put to infringing use. </w:t>
      </w:r>
      <w:r w:rsidR="00D1120C">
        <w:rPr>
          <w:lang w:eastAsia="zh-CN"/>
        </w:rPr>
        <w:t xml:space="preserve">Schools already invest considerable resources into promoting respect for copyright. National Copyright Unit initiatives include frequent training sessions for teachers, the provision of a detailed guide providing practical advice to school and TAFE teachers to facilitate their understanding and compliance, </w:t>
      </w:r>
      <w:r w:rsidR="00F62C73">
        <w:rPr>
          <w:lang w:eastAsia="zh-CN"/>
        </w:rPr>
        <w:t>and a variety of educational initiatives aimed at increasing student understanding of piracy, the surrounding ethical issues, and its impact on creators.</w:t>
      </w:r>
      <w:r w:rsidR="00DA0FFF">
        <w:rPr>
          <w:rStyle w:val="FootnoteReference"/>
          <w:lang w:eastAsia="zh-CN"/>
        </w:rPr>
        <w:footnoteReference w:id="54"/>
      </w:r>
      <w:r w:rsidR="00F62C73">
        <w:rPr>
          <w:lang w:eastAsia="zh-CN"/>
        </w:rPr>
        <w:t xml:space="preserve"> </w:t>
      </w:r>
      <w:r w:rsidRPr="00805854">
        <w:rPr>
          <w:lang w:eastAsia="zh-CN"/>
        </w:rPr>
        <w:t>If the revised law is enacted</w:t>
      </w:r>
      <w:r w:rsidR="00D1120C">
        <w:rPr>
          <w:lang w:eastAsia="zh-CN"/>
        </w:rPr>
        <w:t xml:space="preserve">, </w:t>
      </w:r>
      <w:r w:rsidR="00F62C73">
        <w:rPr>
          <w:lang w:eastAsia="zh-CN"/>
        </w:rPr>
        <w:t xml:space="preserve">imposing </w:t>
      </w:r>
      <w:r w:rsidR="00D1120C">
        <w:rPr>
          <w:lang w:eastAsia="zh-CN"/>
        </w:rPr>
        <w:t>new obligations on schools to proactively reduce infringement</w:t>
      </w:r>
      <w:r w:rsidRPr="00805854">
        <w:rPr>
          <w:lang w:eastAsia="zh-CN"/>
        </w:rPr>
        <w:t xml:space="preserve">, </w:t>
      </w:r>
      <w:r w:rsidR="00D1120C">
        <w:rPr>
          <w:lang w:eastAsia="zh-CN"/>
        </w:rPr>
        <w:t xml:space="preserve">they may </w:t>
      </w:r>
      <w:r w:rsidR="00581021" w:rsidRPr="00805854">
        <w:rPr>
          <w:lang w:eastAsia="zh-CN"/>
        </w:rPr>
        <w:t>be pressured by right</w:t>
      </w:r>
      <w:r w:rsidR="00D11E8E">
        <w:rPr>
          <w:lang w:eastAsia="zh-CN"/>
        </w:rPr>
        <w:t>s</w:t>
      </w:r>
      <w:r w:rsidR="00DA0FFF">
        <w:rPr>
          <w:lang w:eastAsia="zh-CN"/>
        </w:rPr>
        <w:t xml:space="preserve"> </w:t>
      </w:r>
      <w:r w:rsidR="00581021" w:rsidRPr="00805854">
        <w:rPr>
          <w:lang w:eastAsia="zh-CN"/>
        </w:rPr>
        <w:t xml:space="preserve">holders to </w:t>
      </w:r>
      <w:r w:rsidRPr="00805854">
        <w:rPr>
          <w:lang w:eastAsia="zh-CN"/>
        </w:rPr>
        <w:t xml:space="preserve">allocate </w:t>
      </w:r>
      <w:r w:rsidR="00D1120C">
        <w:rPr>
          <w:lang w:eastAsia="zh-CN"/>
        </w:rPr>
        <w:t xml:space="preserve">additional </w:t>
      </w:r>
      <w:r w:rsidRPr="00805854">
        <w:rPr>
          <w:lang w:eastAsia="zh-CN"/>
        </w:rPr>
        <w:t xml:space="preserve">resources away from other parts of the curriculum to </w:t>
      </w:r>
      <w:r w:rsidR="00D1120C">
        <w:rPr>
          <w:lang w:eastAsia="zh-CN"/>
        </w:rPr>
        <w:t>do more to</w:t>
      </w:r>
      <w:r w:rsidR="00D1120C" w:rsidRPr="00805854">
        <w:rPr>
          <w:lang w:eastAsia="zh-CN"/>
        </w:rPr>
        <w:t xml:space="preserve"> </w:t>
      </w:r>
      <w:r w:rsidR="00ED0FE7" w:rsidRPr="00805854">
        <w:rPr>
          <w:lang w:eastAsia="zh-CN"/>
        </w:rPr>
        <w:t>‘educat</w:t>
      </w:r>
      <w:r w:rsidRPr="00805854">
        <w:rPr>
          <w:lang w:eastAsia="zh-CN"/>
        </w:rPr>
        <w:t>e</w:t>
      </w:r>
      <w:r w:rsidR="00ED0FE7" w:rsidRPr="00805854">
        <w:rPr>
          <w:lang w:eastAsia="zh-CN"/>
        </w:rPr>
        <w:t>’ st</w:t>
      </w:r>
      <w:r w:rsidRPr="00805854">
        <w:rPr>
          <w:lang w:eastAsia="zh-CN"/>
        </w:rPr>
        <w:t xml:space="preserve">udents </w:t>
      </w:r>
      <w:r w:rsidR="00D1120C">
        <w:rPr>
          <w:lang w:eastAsia="zh-CN"/>
        </w:rPr>
        <w:t xml:space="preserve">and teachers </w:t>
      </w:r>
      <w:r w:rsidRPr="00805854">
        <w:rPr>
          <w:lang w:eastAsia="zh-CN"/>
        </w:rPr>
        <w:t>about copyright.</w:t>
      </w:r>
      <w:r w:rsidR="00D1120C">
        <w:rPr>
          <w:lang w:eastAsia="zh-CN"/>
        </w:rPr>
        <w:t xml:space="preserve"> </w:t>
      </w:r>
      <w:r w:rsidR="00BA0BC5">
        <w:rPr>
          <w:b/>
          <w:lang w:eastAsia="zh-CN"/>
        </w:rPr>
        <w:t xml:space="preserve">Libraries also </w:t>
      </w:r>
      <w:r w:rsidR="00BA0BC5">
        <w:rPr>
          <w:lang w:eastAsia="zh-CN"/>
        </w:rPr>
        <w:t xml:space="preserve">provide many of these same resources as part of venue hire arrangements, school education programs and client services. </w:t>
      </w:r>
      <w:r w:rsidR="00F62C73">
        <w:rPr>
          <w:lang w:eastAsia="zh-CN"/>
        </w:rPr>
        <w:t>No cost/benefit analysis has been done to discover</w:t>
      </w:r>
      <w:r w:rsidR="00D1120C">
        <w:rPr>
          <w:lang w:eastAsia="zh-CN"/>
        </w:rPr>
        <w:t xml:space="preserve"> what further benefits would be obtained from such a reallocation compared to devoting those resources to </w:t>
      </w:r>
      <w:r w:rsidR="00F62C73">
        <w:rPr>
          <w:lang w:eastAsia="zh-CN"/>
        </w:rPr>
        <w:t>activities elsewhere</w:t>
      </w:r>
      <w:r w:rsidR="00D1120C">
        <w:rPr>
          <w:lang w:eastAsia="zh-CN"/>
        </w:rPr>
        <w:t>.</w:t>
      </w:r>
    </w:p>
    <w:p w14:paraId="45F22729" w14:textId="77777777" w:rsidR="00BA0BC5" w:rsidRDefault="00BA0BC5" w:rsidP="00BA0BC5">
      <w:pPr>
        <w:pStyle w:val="ListBullet"/>
        <w:numPr>
          <w:ilvl w:val="0"/>
          <w:numId w:val="0"/>
        </w:numPr>
        <w:ind w:left="360" w:hanging="288"/>
        <w:jc w:val="both"/>
        <w:rPr>
          <w:lang w:eastAsia="zh-CN"/>
        </w:rPr>
      </w:pPr>
    </w:p>
    <w:p w14:paraId="43FEF95D" w14:textId="4AE4AF12" w:rsidR="00BA0BC5" w:rsidRDefault="00AE03D9" w:rsidP="008C18C5">
      <w:pPr>
        <w:rPr>
          <w:lang w:eastAsia="zh-CN"/>
        </w:rPr>
      </w:pPr>
      <w:r>
        <w:rPr>
          <w:lang w:eastAsia="zh-CN"/>
        </w:rPr>
        <w:t xml:space="preserve">In addition to having greater policing obligations, there is also potential for Australian intermediaries to themselves be directly penalised for infringements committed by their customers, patrons, students or staff. </w:t>
      </w:r>
      <w:r w:rsidR="00BA0BC5">
        <w:rPr>
          <w:lang w:eastAsia="zh-CN"/>
        </w:rPr>
        <w:t>For example, the State Library of Western Australia</w:t>
      </w:r>
      <w:r w:rsidR="00DD2069">
        <w:rPr>
          <w:lang w:eastAsia="zh-CN"/>
        </w:rPr>
        <w:t>, like many other institutions,</w:t>
      </w:r>
      <w:r w:rsidR="00BA0BC5">
        <w:rPr>
          <w:lang w:eastAsia="zh-CN"/>
        </w:rPr>
        <w:t xml:space="preserve"> purchases its internet access from an external provider. If patrons </w:t>
      </w:r>
      <w:r>
        <w:rPr>
          <w:lang w:eastAsia="zh-CN"/>
        </w:rPr>
        <w:t xml:space="preserve">committed online infringements, </w:t>
      </w:r>
      <w:r w:rsidR="00BA0BC5">
        <w:rPr>
          <w:lang w:eastAsia="zh-CN"/>
        </w:rPr>
        <w:t>the library itself</w:t>
      </w:r>
      <w:r>
        <w:rPr>
          <w:lang w:eastAsia="zh-CN"/>
        </w:rPr>
        <w:t xml:space="preserve"> may</w:t>
      </w:r>
      <w:r w:rsidR="00BA0BC5">
        <w:rPr>
          <w:lang w:eastAsia="zh-CN"/>
        </w:rPr>
        <w:t xml:space="preserve"> risk its access being limited </w:t>
      </w:r>
      <w:r>
        <w:rPr>
          <w:lang w:eastAsia="zh-CN"/>
        </w:rPr>
        <w:t xml:space="preserve">in accordance with the terms of any industry scheme, commercial arrangement or prescribed measures. That would raise the costs of providing access and reduce the services the library could provide – again, with no cost/benefit analysis about whether it is justified to do so. </w:t>
      </w:r>
    </w:p>
    <w:p w14:paraId="4EA58587" w14:textId="448DADA4" w:rsidR="00585F7B" w:rsidRDefault="00585F7B" w:rsidP="00A76492">
      <w:pPr>
        <w:rPr>
          <w:lang w:eastAsia="zh-CN"/>
        </w:rPr>
      </w:pPr>
      <w:r>
        <w:rPr>
          <w:lang w:eastAsia="zh-CN"/>
        </w:rPr>
        <w:t xml:space="preserve">Notably, the degree of involvement necessary to give rise to liability under the expanded </w:t>
      </w:r>
      <w:r w:rsidR="001D74B6">
        <w:rPr>
          <w:lang w:eastAsia="zh-CN"/>
        </w:rPr>
        <w:t xml:space="preserve">authorisation </w:t>
      </w:r>
      <w:r>
        <w:rPr>
          <w:lang w:eastAsia="zh-CN"/>
        </w:rPr>
        <w:t xml:space="preserve">law may be significantly less than in other areas involving economic loss. For example, </w:t>
      </w:r>
      <w:r w:rsidR="00EE5419">
        <w:rPr>
          <w:lang w:eastAsia="zh-CN"/>
        </w:rPr>
        <w:t xml:space="preserve">whether a person is liable for pure economic loss caused by their negligent act or omission depends on whether they owe the sufferer a duty of care, determined with reference to factors such as </w:t>
      </w:r>
      <w:r w:rsidR="00461843">
        <w:rPr>
          <w:lang w:eastAsia="zh-CN"/>
        </w:rPr>
        <w:t>whether there was reasonable</w:t>
      </w:r>
      <w:r w:rsidR="0034696F">
        <w:rPr>
          <w:lang w:eastAsia="zh-CN"/>
        </w:rPr>
        <w:t xml:space="preserve"> foreseeability of pure economic loss to an ascertainable class of people, </w:t>
      </w:r>
      <w:r w:rsidR="00A76492">
        <w:rPr>
          <w:lang w:eastAsia="zh-CN"/>
        </w:rPr>
        <w:t>together with</w:t>
      </w:r>
      <w:r w:rsidR="004D1F0A">
        <w:rPr>
          <w:lang w:eastAsia="zh-CN"/>
        </w:rPr>
        <w:t xml:space="preserve"> </w:t>
      </w:r>
      <w:r w:rsidR="0034696F">
        <w:rPr>
          <w:lang w:eastAsia="zh-CN"/>
        </w:rPr>
        <w:t xml:space="preserve">salient features including </w:t>
      </w:r>
      <w:r w:rsidR="004D1F0A">
        <w:rPr>
          <w:lang w:eastAsia="zh-CN"/>
        </w:rPr>
        <w:t xml:space="preserve">the </w:t>
      </w:r>
      <w:r w:rsidR="0034696F">
        <w:rPr>
          <w:lang w:eastAsia="zh-CN"/>
        </w:rPr>
        <w:t xml:space="preserve">level of control the defendant had over the circumstances giving rise to the risk of loss, </w:t>
      </w:r>
      <w:r w:rsidR="004D1F0A">
        <w:rPr>
          <w:lang w:eastAsia="zh-CN"/>
        </w:rPr>
        <w:t xml:space="preserve">the </w:t>
      </w:r>
      <w:r w:rsidR="0034696F">
        <w:rPr>
          <w:lang w:eastAsia="zh-CN"/>
        </w:rPr>
        <w:t xml:space="preserve">vulnerability of the </w:t>
      </w:r>
      <w:r w:rsidR="0034696F">
        <w:rPr>
          <w:lang w:eastAsia="zh-CN"/>
        </w:rPr>
        <w:lastRenderedPageBreak/>
        <w:t>plaintiff to the risk of loss (</w:t>
      </w:r>
      <w:r w:rsidR="004D1F0A">
        <w:rPr>
          <w:lang w:eastAsia="zh-CN"/>
        </w:rPr>
        <w:t>including</w:t>
      </w:r>
      <w:r w:rsidR="0034696F">
        <w:rPr>
          <w:lang w:eastAsia="zh-CN"/>
        </w:rPr>
        <w:t xml:space="preserve"> whether there were reasonable steps they could take to protect themselves), whether the area is already governed by a contractual regime that addresses the issue, whether there is a statutory regime addressing the field, the level of knowledge of the defendant, </w:t>
      </w:r>
      <w:r w:rsidR="006C21C3">
        <w:rPr>
          <w:lang w:eastAsia="zh-CN"/>
        </w:rPr>
        <w:t>determinacy of the loss and so on.</w:t>
      </w:r>
      <w:r w:rsidR="006C21C3">
        <w:rPr>
          <w:rStyle w:val="FootnoteReference"/>
          <w:lang w:eastAsia="zh-CN"/>
        </w:rPr>
        <w:footnoteReference w:id="55"/>
      </w:r>
      <w:r w:rsidR="00ED6F8D">
        <w:rPr>
          <w:lang w:eastAsia="zh-CN"/>
        </w:rPr>
        <w:t xml:space="preserve"> </w:t>
      </w:r>
      <w:r w:rsidR="006C21C3">
        <w:rPr>
          <w:lang w:eastAsia="zh-CN"/>
        </w:rPr>
        <w:t>Whether a duty will be found is highly contingent on the facts and is dete</w:t>
      </w:r>
      <w:r w:rsidR="00A76492">
        <w:rPr>
          <w:lang w:eastAsia="zh-CN"/>
        </w:rPr>
        <w:t xml:space="preserve">rmined on a case by case basis. </w:t>
      </w:r>
      <w:r w:rsidR="00A95E49">
        <w:rPr>
          <w:lang w:eastAsia="zh-CN"/>
        </w:rPr>
        <w:t xml:space="preserve">By changing authorisation in the manner described, </w:t>
      </w:r>
      <w:r w:rsidR="00660905">
        <w:rPr>
          <w:lang w:eastAsia="zh-CN"/>
        </w:rPr>
        <w:t xml:space="preserve">intermediaries </w:t>
      </w:r>
      <w:r w:rsidR="00DD2069">
        <w:rPr>
          <w:lang w:eastAsia="zh-CN"/>
        </w:rPr>
        <w:t>could</w:t>
      </w:r>
      <w:r w:rsidR="00660905">
        <w:rPr>
          <w:lang w:eastAsia="zh-CN"/>
        </w:rPr>
        <w:t xml:space="preserve"> effectively be treated as having a duty </w:t>
      </w:r>
      <w:r w:rsidR="004D1F0A">
        <w:rPr>
          <w:lang w:eastAsia="zh-CN"/>
        </w:rPr>
        <w:t>of care with considerably less</w:t>
      </w:r>
      <w:r w:rsidR="00660905">
        <w:rPr>
          <w:lang w:eastAsia="zh-CN"/>
        </w:rPr>
        <w:t xml:space="preserve"> involvement. No clear justification has been provided for treating </w:t>
      </w:r>
      <w:r w:rsidR="00932363">
        <w:rPr>
          <w:lang w:eastAsia="zh-CN"/>
        </w:rPr>
        <w:t xml:space="preserve">plaintiff rights holders </w:t>
      </w:r>
      <w:r w:rsidR="00660905">
        <w:rPr>
          <w:lang w:eastAsia="zh-CN"/>
        </w:rPr>
        <w:t>so much more favourably t</w:t>
      </w:r>
      <w:r w:rsidR="00932363">
        <w:rPr>
          <w:lang w:eastAsia="zh-CN"/>
        </w:rPr>
        <w:t xml:space="preserve">han those who suffer </w:t>
      </w:r>
      <w:r w:rsidR="00660905">
        <w:rPr>
          <w:lang w:eastAsia="zh-CN"/>
        </w:rPr>
        <w:t>other forms of economic loss.</w:t>
      </w:r>
    </w:p>
    <w:p w14:paraId="0378DA6F" w14:textId="77777777" w:rsidR="00D11E8E" w:rsidRPr="00805854" w:rsidRDefault="00D11E8E" w:rsidP="00D4413D">
      <w:pPr>
        <w:pStyle w:val="ListBullet"/>
        <w:numPr>
          <w:ilvl w:val="0"/>
          <w:numId w:val="0"/>
        </w:numPr>
        <w:ind w:left="360"/>
        <w:jc w:val="both"/>
        <w:rPr>
          <w:lang w:eastAsia="zh-CN"/>
        </w:rPr>
      </w:pPr>
    </w:p>
    <w:p w14:paraId="0044B468" w14:textId="77777777" w:rsidR="00665000" w:rsidRPr="00805854" w:rsidRDefault="00D149D1" w:rsidP="00D4413D">
      <w:pPr>
        <w:pStyle w:val="Heading2"/>
        <w:jc w:val="both"/>
      </w:pPr>
      <w:bookmarkStart w:id="14" w:name="_Toc397245901"/>
      <w:r w:rsidRPr="00805854">
        <w:t>New pressure to enter into private enforcement deals</w:t>
      </w:r>
      <w:bookmarkEnd w:id="14"/>
    </w:p>
    <w:p w14:paraId="66C9AA2F" w14:textId="77777777" w:rsidR="00437541" w:rsidRPr="00805854" w:rsidRDefault="00437541" w:rsidP="00D4413D">
      <w:pPr>
        <w:jc w:val="both"/>
      </w:pPr>
    </w:p>
    <w:p w14:paraId="6192B3F3" w14:textId="11113031" w:rsidR="00650F8F" w:rsidRPr="00805854" w:rsidRDefault="008047F4" w:rsidP="00D4413D">
      <w:pPr>
        <w:jc w:val="both"/>
      </w:pPr>
      <w:r w:rsidRPr="00805854">
        <w:t>The existing authorisation law has been widely criticised for its lack of clarity</w:t>
      </w:r>
      <w:r>
        <w:t>.</w:t>
      </w:r>
      <w:r w:rsidRPr="00805854">
        <w:rPr>
          <w:rStyle w:val="FootnoteReference"/>
        </w:rPr>
        <w:footnoteReference w:id="56"/>
      </w:r>
      <w:r>
        <w:t xml:space="preserve"> </w:t>
      </w:r>
      <w:r w:rsidR="00F62C73">
        <w:t xml:space="preserve">Despite the </w:t>
      </w:r>
      <w:r w:rsidR="00EA3F07">
        <w:t xml:space="preserve">Government’s </w:t>
      </w:r>
      <w:r w:rsidR="00F62C73">
        <w:t>stated intention of ‘clarify[ing]</w:t>
      </w:r>
      <w:r>
        <w:t>’ its operation,</w:t>
      </w:r>
      <w:r w:rsidR="00EA3F07">
        <w:rPr>
          <w:rStyle w:val="FootnoteReference"/>
        </w:rPr>
        <w:footnoteReference w:id="57"/>
      </w:r>
      <w:r w:rsidR="00F62C73">
        <w:t xml:space="preserve"> the change would in fact be accompanied by significant new uncertainties. </w:t>
      </w:r>
      <w:r w:rsidR="008529D0" w:rsidRPr="00805854">
        <w:t>Unresolved questions include</w:t>
      </w:r>
      <w:r w:rsidR="00650F8F" w:rsidRPr="00805854">
        <w:t>:</w:t>
      </w:r>
    </w:p>
    <w:p w14:paraId="540E6890" w14:textId="77777777" w:rsidR="00650F8F" w:rsidRPr="00805854" w:rsidRDefault="00650F8F" w:rsidP="00D4413D">
      <w:pPr>
        <w:pStyle w:val="ListBullet"/>
        <w:jc w:val="both"/>
      </w:pPr>
      <w:r w:rsidRPr="00805854">
        <w:t xml:space="preserve">How would </w:t>
      </w:r>
      <w:r w:rsidR="00FC4929" w:rsidRPr="00805854">
        <w:t xml:space="preserve">judicial analyses change in response to </w:t>
      </w:r>
      <w:r w:rsidR="00600911" w:rsidRPr="00805854">
        <w:t xml:space="preserve">the </w:t>
      </w:r>
      <w:r w:rsidR="00FC4929" w:rsidRPr="00805854">
        <w:t>‘power to prevent’ being s</w:t>
      </w:r>
      <w:r w:rsidRPr="00805854">
        <w:t>ubsumed into ‘reasonable steps’?</w:t>
      </w:r>
    </w:p>
    <w:p w14:paraId="47CE3CBF" w14:textId="549C45AF" w:rsidR="00650F8F" w:rsidRPr="00805854" w:rsidRDefault="00650F8F" w:rsidP="00D4413D">
      <w:pPr>
        <w:pStyle w:val="ListBullet"/>
        <w:jc w:val="both"/>
      </w:pPr>
      <w:r w:rsidRPr="00805854">
        <w:t>What would be</w:t>
      </w:r>
      <w:r w:rsidR="00FC4929" w:rsidRPr="00805854">
        <w:t xml:space="preserve"> the significa</w:t>
      </w:r>
      <w:r w:rsidRPr="00805854">
        <w:t>nce of a</w:t>
      </w:r>
      <w:r w:rsidR="00FC4929" w:rsidRPr="00805854">
        <w:t xml:space="preserve"> failure to comply with an industry</w:t>
      </w:r>
      <w:r w:rsidR="00EA3F07">
        <w:t xml:space="preserve"> scheme</w:t>
      </w:r>
      <w:r w:rsidR="00FC4929" w:rsidRPr="00805854">
        <w:t xml:space="preserve"> or commercial </w:t>
      </w:r>
      <w:r w:rsidR="00EA3F07">
        <w:t>arrangement</w:t>
      </w:r>
      <w:r w:rsidR="00EA3F07" w:rsidRPr="00805854">
        <w:t xml:space="preserve"> </w:t>
      </w:r>
      <w:r w:rsidR="00FC4929" w:rsidRPr="00805854">
        <w:t>to the ‘reasonable steps’ analysi</w:t>
      </w:r>
      <w:r w:rsidR="00600911" w:rsidRPr="00805854">
        <w:t>s</w:t>
      </w:r>
      <w:r w:rsidR="00FC4929" w:rsidRPr="00805854">
        <w:t xml:space="preserve"> </w:t>
      </w:r>
      <w:r w:rsidR="00600911" w:rsidRPr="00805854">
        <w:t>(</w:t>
      </w:r>
      <w:r w:rsidR="00886C9D" w:rsidRPr="00805854">
        <w:t>especially when the defendant has no direct power to prevent the infringement</w:t>
      </w:r>
      <w:r w:rsidR="00600911" w:rsidRPr="00805854">
        <w:t>)</w:t>
      </w:r>
      <w:r w:rsidRPr="00805854">
        <w:t>?</w:t>
      </w:r>
      <w:r w:rsidR="00886C9D" w:rsidRPr="00805854">
        <w:t xml:space="preserve"> </w:t>
      </w:r>
    </w:p>
    <w:p w14:paraId="4DFD3C75" w14:textId="0A2A349A" w:rsidR="00650F8F" w:rsidRPr="00805854" w:rsidRDefault="00650F8F" w:rsidP="00D4413D">
      <w:pPr>
        <w:pStyle w:val="ListBullet"/>
        <w:jc w:val="both"/>
      </w:pPr>
      <w:r w:rsidRPr="00805854">
        <w:t xml:space="preserve">Would </w:t>
      </w:r>
      <w:r w:rsidR="00FC4929" w:rsidRPr="00805854">
        <w:t>a failure to comply with prescribed measures have</w:t>
      </w:r>
      <w:r w:rsidR="001822E5" w:rsidRPr="00805854">
        <w:t xml:space="preserve"> less,</w:t>
      </w:r>
      <w:r w:rsidR="00FC4929" w:rsidRPr="00805854">
        <w:t xml:space="preserve"> the same or greater significance</w:t>
      </w:r>
      <w:r w:rsidRPr="00805854">
        <w:t xml:space="preserve"> than a failure to comply with an industry</w:t>
      </w:r>
      <w:r w:rsidR="00EA3F07">
        <w:t xml:space="preserve"> scheme</w:t>
      </w:r>
      <w:r w:rsidRPr="00805854">
        <w:t xml:space="preserve"> or commercial </w:t>
      </w:r>
      <w:r w:rsidR="00EA3F07">
        <w:t>arrangement</w:t>
      </w:r>
      <w:r w:rsidRPr="00805854">
        <w:t>?</w:t>
      </w:r>
      <w:r w:rsidR="00FC4929" w:rsidRPr="00805854">
        <w:t xml:space="preserve"> </w:t>
      </w:r>
    </w:p>
    <w:p w14:paraId="070542E1" w14:textId="77777777" w:rsidR="00650F8F" w:rsidRPr="00805854" w:rsidRDefault="00650F8F" w:rsidP="00D4413D">
      <w:pPr>
        <w:pStyle w:val="ListBullet"/>
        <w:jc w:val="both"/>
      </w:pPr>
      <w:r w:rsidRPr="00805854">
        <w:t xml:space="preserve">Would enforcement </w:t>
      </w:r>
      <w:r w:rsidR="00FC4929" w:rsidRPr="00805854">
        <w:t>deals entered into by legal strangers be relevant to the liability of organisations</w:t>
      </w:r>
      <w:r w:rsidRPr="00805854">
        <w:t xml:space="preserve"> which provide similar services?</w:t>
      </w:r>
      <w:r w:rsidR="00FC4929" w:rsidRPr="00805854">
        <w:t xml:space="preserve"> </w:t>
      </w:r>
    </w:p>
    <w:p w14:paraId="6FE35434" w14:textId="77777777" w:rsidR="00650F8F" w:rsidRDefault="00650F8F" w:rsidP="00D4413D">
      <w:pPr>
        <w:pStyle w:val="ListBullet"/>
        <w:jc w:val="both"/>
      </w:pPr>
      <w:r w:rsidRPr="00805854">
        <w:t xml:space="preserve">How would each of </w:t>
      </w:r>
      <w:r w:rsidR="00FF00AD" w:rsidRPr="00805854">
        <w:t>these controversies be integrated into judicial analyses which also take other common law factors into account</w:t>
      </w:r>
      <w:r w:rsidRPr="00805854">
        <w:t>?</w:t>
      </w:r>
      <w:r w:rsidR="00A81698" w:rsidRPr="00805854">
        <w:t xml:space="preserve"> </w:t>
      </w:r>
    </w:p>
    <w:p w14:paraId="7F223E01" w14:textId="77777777" w:rsidR="00A052EF" w:rsidRPr="00805854" w:rsidRDefault="00650F8F" w:rsidP="00D4413D">
      <w:pPr>
        <w:pStyle w:val="ListBullet"/>
        <w:jc w:val="both"/>
      </w:pPr>
      <w:r w:rsidRPr="00805854">
        <w:t xml:space="preserve">How would these matters </w:t>
      </w:r>
      <w:r w:rsidR="00A81698" w:rsidRPr="00805854">
        <w:t>impact on providers further upstream (for example, the provider of internet access to a university or smaller ISPs)</w:t>
      </w:r>
      <w:r w:rsidR="00A052EF" w:rsidRPr="00805854">
        <w:t>?</w:t>
      </w:r>
    </w:p>
    <w:p w14:paraId="5FB1BAF3" w14:textId="77777777" w:rsidR="00A052EF" w:rsidRPr="00805854" w:rsidRDefault="00A052EF" w:rsidP="00D4413D">
      <w:pPr>
        <w:jc w:val="both"/>
      </w:pPr>
    </w:p>
    <w:p w14:paraId="405DEF98" w14:textId="540D5A7C" w:rsidR="008529D0" w:rsidRPr="00805854" w:rsidRDefault="00A052EF" w:rsidP="00D4413D">
      <w:pPr>
        <w:jc w:val="both"/>
      </w:pPr>
      <w:r w:rsidRPr="00805854">
        <w:t>Since authorisation’s scope is largely determined by the common law, e</w:t>
      </w:r>
      <w:r w:rsidR="0038409E" w:rsidRPr="00805854">
        <w:t>ach of these matters would have to be teased out on a case by case basis</w:t>
      </w:r>
      <w:r w:rsidRPr="00805854">
        <w:t xml:space="preserve"> </w:t>
      </w:r>
      <w:r w:rsidR="008529D0" w:rsidRPr="00805854">
        <w:t>to determine</w:t>
      </w:r>
      <w:r w:rsidRPr="00805854">
        <w:t xml:space="preserve"> </w:t>
      </w:r>
      <w:r w:rsidR="00C04E82">
        <w:t>its new contours</w:t>
      </w:r>
      <w:r w:rsidR="0038409E" w:rsidRPr="00805854">
        <w:t>.</w:t>
      </w:r>
      <w:r w:rsidR="008529D0" w:rsidRPr="00805854">
        <w:t xml:space="preserve"> That</w:t>
      </w:r>
      <w:r w:rsidR="006F1629">
        <w:t xml:space="preserve"> would be</w:t>
      </w:r>
      <w:r w:rsidRPr="00805854">
        <w:t xml:space="preserve"> </w:t>
      </w:r>
      <w:r w:rsidR="006F1629">
        <w:t xml:space="preserve">a </w:t>
      </w:r>
      <w:r w:rsidRPr="00805854">
        <w:t>significant</w:t>
      </w:r>
      <w:r w:rsidR="006F1629">
        <w:t xml:space="preserve"> task. G</w:t>
      </w:r>
      <w:r w:rsidR="008529D0" w:rsidRPr="00805854">
        <w:t xml:space="preserve">iven the amendment’s </w:t>
      </w:r>
      <w:r w:rsidR="007C5F8B">
        <w:t xml:space="preserve">clear </w:t>
      </w:r>
      <w:r w:rsidR="008529D0" w:rsidRPr="00805854">
        <w:t xml:space="preserve">signal that </w:t>
      </w:r>
      <w:r w:rsidRPr="00805854">
        <w:t xml:space="preserve">the leading authority, </w:t>
      </w:r>
      <w:r w:rsidR="00CF2502" w:rsidRPr="00805854">
        <w:rPr>
          <w:i/>
        </w:rPr>
        <w:t>Moorhouse</w:t>
      </w:r>
      <w:r w:rsidR="00687051" w:rsidRPr="00805854">
        <w:t>, is no longer good law</w:t>
      </w:r>
      <w:r w:rsidRPr="00805854">
        <w:t>, n</w:t>
      </w:r>
      <w:r w:rsidR="00687051" w:rsidRPr="00805854">
        <w:t>ew principles would have to emerge to fill the lacunae</w:t>
      </w:r>
      <w:r w:rsidR="0038409E" w:rsidRPr="00805854">
        <w:t xml:space="preserve">. </w:t>
      </w:r>
    </w:p>
    <w:p w14:paraId="6EBD6299" w14:textId="2B5866F1" w:rsidR="001E0AF7" w:rsidRPr="00805854" w:rsidRDefault="00A052EF" w:rsidP="00D4413D">
      <w:pPr>
        <w:jc w:val="both"/>
      </w:pPr>
      <w:r w:rsidRPr="00805854">
        <w:lastRenderedPageBreak/>
        <w:t xml:space="preserve">Intermediaries across a wide range of sectors, including </w:t>
      </w:r>
      <w:r w:rsidR="008529D0" w:rsidRPr="00805854">
        <w:t xml:space="preserve">libraries, universities </w:t>
      </w:r>
      <w:r w:rsidR="007B4DE8" w:rsidRPr="00805854">
        <w:t xml:space="preserve">and technology providers </w:t>
      </w:r>
      <w:r w:rsidR="008529D0" w:rsidRPr="00805854">
        <w:t xml:space="preserve">(particularly </w:t>
      </w:r>
      <w:r w:rsidR="007B4DE8" w:rsidRPr="00805854">
        <w:t xml:space="preserve">relating to </w:t>
      </w:r>
      <w:r w:rsidR="008529D0" w:rsidRPr="00805854">
        <w:t xml:space="preserve">online search and cloud </w:t>
      </w:r>
      <w:r w:rsidR="007B4DE8" w:rsidRPr="00805854">
        <w:t>hosting and storage</w:t>
      </w:r>
      <w:r w:rsidR="008529D0" w:rsidRPr="00805854">
        <w:t>)</w:t>
      </w:r>
      <w:r w:rsidR="001822E5" w:rsidRPr="00805854">
        <w:t xml:space="preserve"> have</w:t>
      </w:r>
      <w:r w:rsidRPr="00805854">
        <w:t xml:space="preserve"> </w:t>
      </w:r>
      <w:r w:rsidR="001E0AF7" w:rsidRPr="00805854">
        <w:t xml:space="preserve">expressed concern that they did not fully understand what their new liability might be if the </w:t>
      </w:r>
      <w:r w:rsidR="00EA3F07">
        <w:t>G</w:t>
      </w:r>
      <w:r w:rsidR="00EA3F07" w:rsidRPr="00805854">
        <w:t xml:space="preserve">overnment’s </w:t>
      </w:r>
      <w:r w:rsidR="001E0AF7" w:rsidRPr="00805854">
        <w:t xml:space="preserve">proposal </w:t>
      </w:r>
      <w:r w:rsidR="006F1629">
        <w:t>were</w:t>
      </w:r>
      <w:r w:rsidR="001E0AF7" w:rsidRPr="00805854">
        <w:t xml:space="preserve"> enacted. Even if they </w:t>
      </w:r>
      <w:r w:rsidR="007B4DE8" w:rsidRPr="00805854">
        <w:t xml:space="preserve">could be confident that they would not be liable under extended authorisation principles, </w:t>
      </w:r>
      <w:r w:rsidR="001E0AF7" w:rsidRPr="00805854">
        <w:t>intermediaries</w:t>
      </w:r>
      <w:r w:rsidR="007B4DE8" w:rsidRPr="00805854">
        <w:t xml:space="preserve"> must also account for the risk that the </w:t>
      </w:r>
      <w:r w:rsidR="00EA3F07">
        <w:t>G</w:t>
      </w:r>
      <w:r w:rsidR="00EA3F07" w:rsidRPr="00805854">
        <w:t xml:space="preserve">overnment </w:t>
      </w:r>
      <w:r w:rsidR="007B4DE8" w:rsidRPr="00805854">
        <w:t>may change that position by regulation if they do not sufficiently accommodate the interests of right</w:t>
      </w:r>
      <w:r w:rsidR="00EA3F07">
        <w:t xml:space="preserve">s </w:t>
      </w:r>
      <w:r w:rsidR="007B4DE8" w:rsidRPr="00805854">
        <w:t xml:space="preserve">holders. Even if the </w:t>
      </w:r>
      <w:r w:rsidR="00EA3F07">
        <w:t>G</w:t>
      </w:r>
      <w:r w:rsidR="00EA3F07" w:rsidRPr="00805854">
        <w:t xml:space="preserve">overnment </w:t>
      </w:r>
      <w:r w:rsidR="007B4DE8" w:rsidRPr="00805854">
        <w:t>has no current intention of doing so, there is significant potential for lobbying by right</w:t>
      </w:r>
      <w:r w:rsidR="00EA3F07">
        <w:t xml:space="preserve">s </w:t>
      </w:r>
      <w:r w:rsidR="007B4DE8" w:rsidRPr="00805854">
        <w:t xml:space="preserve">holders to </w:t>
      </w:r>
      <w:r w:rsidR="00EA3F07">
        <w:t>increase the number and scope of prescribed measures</w:t>
      </w:r>
      <w:r w:rsidR="007B4DE8" w:rsidRPr="00805854">
        <w:t xml:space="preserve"> once the regulation power is in force</w:t>
      </w:r>
      <w:r w:rsidR="006F1629">
        <w:t xml:space="preserve">, which </w:t>
      </w:r>
      <w:r w:rsidR="00EC3EF6">
        <w:t xml:space="preserve">further </w:t>
      </w:r>
      <w:r w:rsidR="006F1629">
        <w:t>adds to the uncertainty about the potential scope of institutional obligations</w:t>
      </w:r>
      <w:r w:rsidR="007B4DE8" w:rsidRPr="00805854">
        <w:t xml:space="preserve">. </w:t>
      </w:r>
    </w:p>
    <w:p w14:paraId="727C7340" w14:textId="0DF7F31F" w:rsidR="00384122" w:rsidRPr="00805854" w:rsidRDefault="007B4DE8" w:rsidP="00D4413D">
      <w:pPr>
        <w:jc w:val="both"/>
      </w:pPr>
      <w:r w:rsidRPr="00805854">
        <w:t xml:space="preserve">The combined effect of the expanded law, uncertainty about the extent of its reach and the possibility of regulations being prescribed if intermediaries </w:t>
      </w:r>
      <w:r w:rsidR="00EA3F07">
        <w:t>were</w:t>
      </w:r>
      <w:r w:rsidR="00EA3F07" w:rsidRPr="00805854">
        <w:t xml:space="preserve"> </w:t>
      </w:r>
      <w:r w:rsidRPr="00805854">
        <w:t>insufficiently</w:t>
      </w:r>
      <w:r w:rsidR="009B2A5D" w:rsidRPr="00805854">
        <w:t xml:space="preserve"> accommodating would combine to </w:t>
      </w:r>
      <w:r w:rsidR="00384122" w:rsidRPr="00805854">
        <w:t xml:space="preserve">exert significant </w:t>
      </w:r>
      <w:r w:rsidR="009B2A5D" w:rsidRPr="00805854">
        <w:t xml:space="preserve">pressure </w:t>
      </w:r>
      <w:r w:rsidR="001E0AF7" w:rsidRPr="00805854">
        <w:t xml:space="preserve">on </w:t>
      </w:r>
      <w:r w:rsidR="009B2A5D" w:rsidRPr="00805854">
        <w:t xml:space="preserve">Australian organisations to enter into private enforcement deals. </w:t>
      </w:r>
    </w:p>
    <w:p w14:paraId="2B5E5F34" w14:textId="1826A71A" w:rsidR="0084537B" w:rsidRPr="00805854" w:rsidRDefault="00C04E82" w:rsidP="00546819">
      <w:pPr>
        <w:jc w:val="both"/>
      </w:pPr>
      <w:r>
        <w:t>T</w:t>
      </w:r>
      <w:r w:rsidR="008047F4">
        <w:t xml:space="preserve">he strengthened hand of </w:t>
      </w:r>
      <w:r w:rsidR="009B2A5D" w:rsidRPr="00805854">
        <w:t>right</w:t>
      </w:r>
      <w:r w:rsidR="00EA3F07">
        <w:t>s</w:t>
      </w:r>
      <w:r w:rsidR="009B2A5D" w:rsidRPr="00805854">
        <w:t xml:space="preserve"> holders </w:t>
      </w:r>
      <w:r>
        <w:t xml:space="preserve">under the amended law </w:t>
      </w:r>
      <w:r w:rsidR="002E65D2">
        <w:t xml:space="preserve">would </w:t>
      </w:r>
      <w:r w:rsidR="008047F4">
        <w:t>give them</w:t>
      </w:r>
      <w:r w:rsidR="009B2A5D" w:rsidRPr="00805854">
        <w:t xml:space="preserve"> little incentive to be reasonable in negotiati</w:t>
      </w:r>
      <w:r w:rsidR="00384122" w:rsidRPr="00805854">
        <w:t>ng the terms of such deals. That</w:t>
      </w:r>
      <w:r w:rsidR="009B2A5D" w:rsidRPr="00805854">
        <w:t xml:space="preserve"> is problematic because the interests of copyright owners do not always align w</w:t>
      </w:r>
      <w:r w:rsidR="001E0AF7" w:rsidRPr="00805854">
        <w:t>ith the broader public interest</w:t>
      </w:r>
      <w:r w:rsidR="0084537B" w:rsidRPr="00805854">
        <w:t>,</w:t>
      </w:r>
      <w:r w:rsidR="00EC3EF6">
        <w:t xml:space="preserve"> leading them to sometimes </w:t>
      </w:r>
      <w:r w:rsidR="0084537B" w:rsidRPr="00805854">
        <w:t xml:space="preserve">overreach </w:t>
      </w:r>
      <w:r w:rsidR="002E65D2">
        <w:t>in enforcing</w:t>
      </w:r>
      <w:r w:rsidR="0084537B" w:rsidRPr="00805854">
        <w:t xml:space="preserve"> </w:t>
      </w:r>
      <w:r w:rsidR="00EC3EF6">
        <w:t>those</w:t>
      </w:r>
      <w:r w:rsidR="0084537B" w:rsidRPr="00805854">
        <w:t xml:space="preserve"> rights</w:t>
      </w:r>
      <w:r w:rsidR="001E0AF7" w:rsidRPr="00805854">
        <w:t>.</w:t>
      </w:r>
      <w:r w:rsidR="009B2A5D" w:rsidRPr="00805854">
        <w:t xml:space="preserve"> For example, </w:t>
      </w:r>
      <w:r w:rsidR="001822E5" w:rsidRPr="00805854">
        <w:t>the most powerful right</w:t>
      </w:r>
      <w:r w:rsidR="00EA3F07">
        <w:t xml:space="preserve">s </w:t>
      </w:r>
      <w:r w:rsidR="001822E5" w:rsidRPr="00805854">
        <w:t>holders</w:t>
      </w:r>
      <w:r w:rsidR="009B2A5D" w:rsidRPr="00805854">
        <w:t xml:space="preserve"> have long advocated for infringing users to have their </w:t>
      </w:r>
      <w:r w:rsidR="00546819">
        <w:t>internet</w:t>
      </w:r>
      <w:r w:rsidR="009B2A5D" w:rsidRPr="00805854">
        <w:t xml:space="preserve"> access terminated, </w:t>
      </w:r>
      <w:r w:rsidR="00384122" w:rsidRPr="00805854">
        <w:t xml:space="preserve">with the International Federation of the Phonographic Industry </w:t>
      </w:r>
      <w:r w:rsidR="000E4B75">
        <w:t xml:space="preserve">(‘IFPI’) </w:t>
      </w:r>
      <w:r w:rsidR="00384122" w:rsidRPr="00805854">
        <w:t xml:space="preserve">suggesting in 2007 that </w:t>
      </w:r>
      <w:r w:rsidR="009B2A5D" w:rsidRPr="00805854">
        <w:t xml:space="preserve"> </w:t>
      </w:r>
      <w:r w:rsidR="00384122" w:rsidRPr="00805854">
        <w:t>‘[d]isconnection of service for serious infringers should become the speeding fine or the parking ticket of ISP networks.’</w:t>
      </w:r>
      <w:r w:rsidR="0084537B" w:rsidRPr="00805854">
        <w:rPr>
          <w:rStyle w:val="FootnoteReference"/>
        </w:rPr>
        <w:footnoteReference w:id="58"/>
      </w:r>
      <w:r w:rsidR="00384122" w:rsidRPr="00805854">
        <w:t xml:space="preserve"> Since then, </w:t>
      </w:r>
      <w:r w:rsidR="001E0AF7" w:rsidRPr="00805854">
        <w:t>there has been growing awareness that termination of access is a</w:t>
      </w:r>
      <w:r w:rsidR="001822E5" w:rsidRPr="00805854">
        <w:t>ctually a</w:t>
      </w:r>
      <w:r w:rsidR="001E0AF7" w:rsidRPr="00805854">
        <w:t xml:space="preserve"> very serious penalty, with </w:t>
      </w:r>
      <w:r w:rsidR="001822E5" w:rsidRPr="00805854">
        <w:t xml:space="preserve">significant </w:t>
      </w:r>
      <w:r w:rsidR="008047F4">
        <w:t>impact on</w:t>
      </w:r>
      <w:r w:rsidR="001E0AF7" w:rsidRPr="00805854">
        <w:t xml:space="preserve"> </w:t>
      </w:r>
      <w:r w:rsidR="0085204E">
        <w:t>day to day life including</w:t>
      </w:r>
      <w:r w:rsidR="008047F4">
        <w:t xml:space="preserve"> </w:t>
      </w:r>
      <w:r w:rsidR="0085204E">
        <w:t>the ability to engage with government and business</w:t>
      </w:r>
      <w:r w:rsidR="008047F4">
        <w:t>, to</w:t>
      </w:r>
      <w:r w:rsidR="00613FCC">
        <w:t xml:space="preserve"> study, and to</w:t>
      </w:r>
      <w:r w:rsidR="008047F4">
        <w:t xml:space="preserve"> look for employment</w:t>
      </w:r>
      <w:r w:rsidR="00613FCC">
        <w:t>.</w:t>
      </w:r>
      <w:r w:rsidR="0085204E">
        <w:t xml:space="preserve"> </w:t>
      </w:r>
      <w:r w:rsidR="00613FCC">
        <w:t xml:space="preserve">That, combined with the </w:t>
      </w:r>
      <w:r w:rsidR="008047F4">
        <w:t xml:space="preserve">implications for fundamental </w:t>
      </w:r>
      <w:r w:rsidR="001E0AF7" w:rsidRPr="00805854">
        <w:t xml:space="preserve">human rights </w:t>
      </w:r>
      <w:r w:rsidR="00613FCC">
        <w:t xml:space="preserve">such as </w:t>
      </w:r>
      <w:r w:rsidR="001E0AF7" w:rsidRPr="00805854">
        <w:t>freedom of expression</w:t>
      </w:r>
      <w:r w:rsidR="00613FCC">
        <w:t>, demonstrates that it</w:t>
      </w:r>
      <w:r w:rsidR="001E0AF7" w:rsidRPr="00805854">
        <w:t xml:space="preserve"> should not be </w:t>
      </w:r>
      <w:r w:rsidR="008047F4">
        <w:t>inflicted</w:t>
      </w:r>
      <w:r w:rsidR="008047F4" w:rsidRPr="00805854">
        <w:t xml:space="preserve"> </w:t>
      </w:r>
      <w:r w:rsidR="001E0AF7" w:rsidRPr="00805854">
        <w:t>lightly.</w:t>
      </w:r>
      <w:r w:rsidR="0084537B" w:rsidRPr="00805854">
        <w:rPr>
          <w:rStyle w:val="FootnoteReference"/>
        </w:rPr>
        <w:footnoteReference w:id="59"/>
      </w:r>
      <w:r w:rsidR="001E0AF7" w:rsidRPr="00805854">
        <w:t xml:space="preserve"> Separately, </w:t>
      </w:r>
      <w:r w:rsidR="001822E5" w:rsidRPr="00805854">
        <w:t>IFPI has also</w:t>
      </w:r>
      <w:r w:rsidR="001E0AF7" w:rsidRPr="00805854">
        <w:t xml:space="preserve"> advocated for filtering of all content by ISPs using deep packet inspection, </w:t>
      </w:r>
      <w:r w:rsidR="009B2A5D" w:rsidRPr="00805854">
        <w:t>a</w:t>
      </w:r>
      <w:r w:rsidR="001822E5" w:rsidRPr="00805854">
        <w:t xml:space="preserve"> </w:t>
      </w:r>
      <w:r w:rsidR="009B2A5D" w:rsidRPr="00805854">
        <w:t xml:space="preserve">method which </w:t>
      </w:r>
      <w:r w:rsidR="0084537B" w:rsidRPr="00805854">
        <w:t>would impose</w:t>
      </w:r>
      <w:r w:rsidR="009B2A5D" w:rsidRPr="00805854">
        <w:t xml:space="preserve"> significant costs o</w:t>
      </w:r>
      <w:r w:rsidR="001822E5" w:rsidRPr="00805854">
        <w:t>n the service provider and slow</w:t>
      </w:r>
      <w:r w:rsidR="009B2A5D" w:rsidRPr="00805854">
        <w:t xml:space="preserve"> down internet</w:t>
      </w:r>
      <w:r w:rsidR="001822E5" w:rsidRPr="00805854">
        <w:t xml:space="preserve"> access</w:t>
      </w:r>
      <w:r w:rsidR="009B2A5D" w:rsidRPr="00805854">
        <w:t xml:space="preserve"> for infringing and non-infringing </w:t>
      </w:r>
      <w:r w:rsidR="00384122" w:rsidRPr="00805854">
        <w:t>users</w:t>
      </w:r>
      <w:r w:rsidR="009B2A5D" w:rsidRPr="00805854">
        <w:t xml:space="preserve"> alike.</w:t>
      </w:r>
      <w:r w:rsidR="001E0AF7" w:rsidRPr="00805854">
        <w:rPr>
          <w:rStyle w:val="FootnoteReference"/>
        </w:rPr>
        <w:footnoteReference w:id="60"/>
      </w:r>
      <w:r w:rsidR="001E0AF7" w:rsidRPr="00805854">
        <w:t xml:space="preserve"> Despite IFPI</w:t>
      </w:r>
      <w:r w:rsidR="0084537B" w:rsidRPr="00805854">
        <w:t xml:space="preserve">’s description of the </w:t>
      </w:r>
      <w:r w:rsidR="001E0AF7" w:rsidRPr="00805854">
        <w:t xml:space="preserve">method as </w:t>
      </w:r>
      <w:r w:rsidR="0084537B" w:rsidRPr="00805854">
        <w:t>‘effective and not unreasonably burdensome’, it was rejected by the Court of Justice of the European Union as being contrary to the fundamental rights of intermediaries and users.</w:t>
      </w:r>
      <w:r w:rsidR="0084537B" w:rsidRPr="00805854">
        <w:rPr>
          <w:rStyle w:val="FootnoteReference"/>
        </w:rPr>
        <w:footnoteReference w:id="61"/>
      </w:r>
      <w:r w:rsidR="0084537B" w:rsidRPr="00805854">
        <w:t xml:space="preserve">  </w:t>
      </w:r>
    </w:p>
    <w:p w14:paraId="5E771898" w14:textId="2B28D6BB" w:rsidR="001E0AF7" w:rsidRPr="00805854" w:rsidRDefault="001822E5" w:rsidP="00D4413D">
      <w:pPr>
        <w:jc w:val="both"/>
      </w:pPr>
      <w:r w:rsidRPr="00805854">
        <w:t>I</w:t>
      </w:r>
      <w:r w:rsidR="001E0AF7" w:rsidRPr="00805854">
        <w:t xml:space="preserve">t is </w:t>
      </w:r>
      <w:r w:rsidRPr="00805854">
        <w:t>entirely</w:t>
      </w:r>
      <w:r w:rsidR="001E0AF7" w:rsidRPr="00805854">
        <w:t xml:space="preserve"> understandable that right</w:t>
      </w:r>
      <w:r w:rsidR="00566988">
        <w:t xml:space="preserve">s </w:t>
      </w:r>
      <w:r w:rsidR="001E0AF7" w:rsidRPr="00805854">
        <w:t>holders wish to exert their rights to full commercial advantage</w:t>
      </w:r>
      <w:r w:rsidRPr="00805854">
        <w:t xml:space="preserve">. However, </w:t>
      </w:r>
      <w:r w:rsidR="001E0AF7" w:rsidRPr="00805854">
        <w:t>that does not make it desirable</w:t>
      </w:r>
      <w:r w:rsidR="00FF36D5">
        <w:t xml:space="preserve"> or reasonable</w:t>
      </w:r>
      <w:r w:rsidR="001E0AF7" w:rsidRPr="00805854">
        <w:t xml:space="preserve"> for them to have such a </w:t>
      </w:r>
      <w:r w:rsidR="0084537B" w:rsidRPr="00805854">
        <w:t>powerful</w:t>
      </w:r>
      <w:r w:rsidR="001E0AF7" w:rsidRPr="00805854">
        <w:t xml:space="preserve"> role in deciding what everyone else’s rights and responsibilities ought to be.  </w:t>
      </w:r>
    </w:p>
    <w:p w14:paraId="19F75CBB" w14:textId="77777777" w:rsidR="0084537B" w:rsidRPr="00805854" w:rsidRDefault="0084537B" w:rsidP="00D4413D">
      <w:pPr>
        <w:pStyle w:val="Heading3"/>
        <w:jc w:val="both"/>
        <w:rPr>
          <w:lang w:eastAsia="zh-CN"/>
        </w:rPr>
      </w:pPr>
    </w:p>
    <w:p w14:paraId="41AD3FC9" w14:textId="77777777" w:rsidR="00D149D1" w:rsidRPr="00805854" w:rsidRDefault="000D341C" w:rsidP="00D4413D">
      <w:pPr>
        <w:pStyle w:val="Heading2"/>
        <w:jc w:val="both"/>
        <w:rPr>
          <w:lang w:eastAsia="zh-CN"/>
        </w:rPr>
      </w:pPr>
      <w:bookmarkStart w:id="15" w:name="_Toc397245902"/>
      <w:r w:rsidRPr="00805854">
        <w:rPr>
          <w:lang w:eastAsia="zh-CN"/>
        </w:rPr>
        <w:lastRenderedPageBreak/>
        <w:t>Increased need to rely on</w:t>
      </w:r>
      <w:r w:rsidR="00D149D1" w:rsidRPr="00805854">
        <w:rPr>
          <w:lang w:eastAsia="zh-CN"/>
        </w:rPr>
        <w:t xml:space="preserve"> ‘safe harbours’</w:t>
      </w:r>
      <w:bookmarkEnd w:id="15"/>
      <w:r w:rsidR="00D149D1" w:rsidRPr="00805854">
        <w:rPr>
          <w:lang w:eastAsia="zh-CN"/>
        </w:rPr>
        <w:t xml:space="preserve"> </w:t>
      </w:r>
    </w:p>
    <w:p w14:paraId="2E74D14C" w14:textId="77777777" w:rsidR="00D149D1" w:rsidRPr="00805854" w:rsidRDefault="00D149D1" w:rsidP="00D4413D">
      <w:pPr>
        <w:jc w:val="both"/>
        <w:rPr>
          <w:lang w:eastAsia="zh-CN"/>
        </w:rPr>
      </w:pPr>
    </w:p>
    <w:p w14:paraId="528E0AD4" w14:textId="70AF96A5" w:rsidR="005E3EB8" w:rsidRPr="00805854" w:rsidRDefault="005E3EB8" w:rsidP="00D4413D">
      <w:pPr>
        <w:jc w:val="both"/>
      </w:pPr>
      <w:r w:rsidRPr="00805854">
        <w:t xml:space="preserve">An alternative way </w:t>
      </w:r>
      <w:r w:rsidR="0085204E">
        <w:t>for intermediaries and others to</w:t>
      </w:r>
      <w:r w:rsidR="0085204E" w:rsidRPr="00805854">
        <w:t xml:space="preserve"> </w:t>
      </w:r>
      <w:r w:rsidRPr="00805854">
        <w:t>manag</w:t>
      </w:r>
      <w:r w:rsidR="0085204E">
        <w:t>e</w:t>
      </w:r>
      <w:r w:rsidRPr="00805854">
        <w:t xml:space="preserve"> extended authorisation liability may be to rely on </w:t>
      </w:r>
      <w:r w:rsidR="00D149D1" w:rsidRPr="00805854">
        <w:t>the safe harbour provisions in</w:t>
      </w:r>
      <w:r w:rsidR="00566988">
        <w:t xml:space="preserve"> Part V,</w:t>
      </w:r>
      <w:r w:rsidR="00D149D1" w:rsidRPr="00805854">
        <w:t xml:space="preserve"> Division 2AA of the </w:t>
      </w:r>
      <w:r w:rsidR="00D149D1" w:rsidRPr="00566988">
        <w:rPr>
          <w:i/>
        </w:rPr>
        <w:t>Copyright Act</w:t>
      </w:r>
      <w:r w:rsidRPr="00805854">
        <w:t xml:space="preserve">. </w:t>
      </w:r>
      <w:r w:rsidR="00A052EF" w:rsidRPr="00805854">
        <w:t>The Government has recommended accompanying the proposed extension of authorisation law with an expansion of existing safe harbour provisions to ensure they cover all online service providers</w:t>
      </w:r>
      <w:r w:rsidRPr="00805854">
        <w:t xml:space="preserve"> rather than only ‘carriage service providers’</w:t>
      </w:r>
      <w:r w:rsidR="00A052EF" w:rsidRPr="00805854">
        <w:t>.</w:t>
      </w:r>
      <w:r w:rsidR="00AC5D96" w:rsidRPr="00805854">
        <w:rPr>
          <w:rStyle w:val="FootnoteReference"/>
        </w:rPr>
        <w:footnoteReference w:id="62"/>
      </w:r>
      <w:r w:rsidR="00A052EF" w:rsidRPr="00805854">
        <w:t xml:space="preserve"> </w:t>
      </w:r>
    </w:p>
    <w:p w14:paraId="2E424607" w14:textId="77777777" w:rsidR="00A052EF" w:rsidRPr="00805854" w:rsidRDefault="00A052EF" w:rsidP="00D4413D">
      <w:pPr>
        <w:jc w:val="both"/>
      </w:pPr>
      <w:r w:rsidRPr="00805854">
        <w:t xml:space="preserve">Safe harbours limit the monetary remedies available against service providers in some circumstances where the service has been put to infringing use. Universities, schools, libraries, search engines and cloud storage providers are among those that would benefit from this change, and it is a welcome initiative that would bring Australian law into line with many of its trading partners. </w:t>
      </w:r>
    </w:p>
    <w:p w14:paraId="3F853A4F" w14:textId="77777777" w:rsidR="000D341C" w:rsidRPr="00805854" w:rsidRDefault="000D341C" w:rsidP="00D4413D">
      <w:pPr>
        <w:jc w:val="both"/>
      </w:pPr>
      <w:r w:rsidRPr="00805854">
        <w:t>For the reasons set out below however</w:t>
      </w:r>
      <w:r w:rsidR="00A052EF" w:rsidRPr="00805854">
        <w:t xml:space="preserve">, this extension would only partly ameliorate the consequences of an expanded authorisation law. </w:t>
      </w:r>
    </w:p>
    <w:p w14:paraId="751AB247" w14:textId="0F8655AC" w:rsidR="00A052EF" w:rsidRPr="00805854" w:rsidRDefault="000D341C" w:rsidP="00D4413D">
      <w:pPr>
        <w:pStyle w:val="ListBullet"/>
        <w:jc w:val="both"/>
      </w:pPr>
      <w:r w:rsidRPr="00805854">
        <w:rPr>
          <w:b/>
        </w:rPr>
        <w:t>Safe harbours do not prevent liability from accruing:</w:t>
      </w:r>
      <w:r w:rsidRPr="00805854">
        <w:t xml:space="preserve"> </w:t>
      </w:r>
      <w:r w:rsidR="001822E5" w:rsidRPr="00805854">
        <w:t xml:space="preserve">There is no need to resort to reliance on safe harbours unless liability has accrued in the first place. </w:t>
      </w:r>
      <w:r w:rsidR="00A052EF" w:rsidRPr="00805854">
        <w:t xml:space="preserve">Discussions with stakeholders suggest that it </w:t>
      </w:r>
      <w:r w:rsidR="00613FCC">
        <w:t>is</w:t>
      </w:r>
      <w:r w:rsidR="00613FCC" w:rsidRPr="00805854">
        <w:t xml:space="preserve"> </w:t>
      </w:r>
      <w:r w:rsidR="00A052EF" w:rsidRPr="00805854">
        <w:t xml:space="preserve">important to many sectors to avoid liability altogether, rather than </w:t>
      </w:r>
      <w:r w:rsidRPr="00805854">
        <w:t xml:space="preserve">to merely </w:t>
      </w:r>
      <w:r w:rsidR="00A052EF" w:rsidRPr="00805854">
        <w:t xml:space="preserve">rely on a limitation on remedies. </w:t>
      </w:r>
      <w:r w:rsidRPr="00805854">
        <w:t>For that reason</w:t>
      </w:r>
      <w:r w:rsidR="00A052EF" w:rsidRPr="00805854">
        <w:t>, an extension to safe harbours would give them little comfort in dealing with right</w:t>
      </w:r>
      <w:r w:rsidR="005164AF">
        <w:t xml:space="preserve">s </w:t>
      </w:r>
      <w:r w:rsidR="00A052EF" w:rsidRPr="00805854">
        <w:t xml:space="preserve">holder demands that they take greater proactive steps to prevent infringement. </w:t>
      </w:r>
    </w:p>
    <w:p w14:paraId="1C3635DF" w14:textId="77777777" w:rsidR="009644DD" w:rsidRPr="00805854" w:rsidRDefault="000D341C" w:rsidP="00D4413D">
      <w:pPr>
        <w:pStyle w:val="ListBullet"/>
        <w:jc w:val="both"/>
      </w:pPr>
      <w:r w:rsidRPr="00EC3EF6">
        <w:rPr>
          <w:b/>
        </w:rPr>
        <w:t>The</w:t>
      </w:r>
      <w:r w:rsidR="00A052EF" w:rsidRPr="00EC3EF6">
        <w:rPr>
          <w:b/>
        </w:rPr>
        <w:t xml:space="preserve"> extended safe harbours would apply only to certain online activities, not to all activities captured under</w:t>
      </w:r>
      <w:r w:rsidRPr="00EC3EF6">
        <w:rPr>
          <w:b/>
        </w:rPr>
        <w:t xml:space="preserve"> the expanded authorisation law:</w:t>
      </w:r>
      <w:r w:rsidRPr="00805854">
        <w:t xml:space="preserve"> In many cases, the extension of authorisation liability would not be matched by an extended safe harbour. For example, l</w:t>
      </w:r>
      <w:r w:rsidR="00A052EF" w:rsidRPr="00805854">
        <w:t xml:space="preserve">ibraries would not be protected from any new liability the law introduced for their users engaging in offline copying of their holdings. Nor would manufacturers be able to rely on the safe harbours to protect themselves from extended liability from the design of their products, or businesses for the sale of equipment that may be put to infringing use. </w:t>
      </w:r>
      <w:r w:rsidR="001C686F" w:rsidRPr="00805854">
        <w:t>In such cases, intermediaries will face new liability without any corresponding new protections.</w:t>
      </w:r>
      <w:r w:rsidR="00A052EF" w:rsidRPr="00805854">
        <w:t xml:space="preserve"> </w:t>
      </w:r>
    </w:p>
    <w:p w14:paraId="66BD6B06" w14:textId="5B85472D" w:rsidR="009644DD" w:rsidRPr="00805854" w:rsidRDefault="000D341C" w:rsidP="00D4413D">
      <w:pPr>
        <w:pStyle w:val="ListBullet"/>
        <w:jc w:val="both"/>
      </w:pPr>
      <w:r w:rsidRPr="00805854">
        <w:rPr>
          <w:b/>
        </w:rPr>
        <w:t>Even where a safe harbour applies, it may still impose new burdens:</w:t>
      </w:r>
      <w:r w:rsidRPr="00805854">
        <w:t xml:space="preserve"> </w:t>
      </w:r>
      <w:r w:rsidR="009644DD" w:rsidRPr="00805854">
        <w:t>Even i</w:t>
      </w:r>
      <w:r w:rsidRPr="00805854">
        <w:t>n situations where a</w:t>
      </w:r>
      <w:r w:rsidR="009644DD" w:rsidRPr="00805854">
        <w:t xml:space="preserve"> safe harbour did apply</w:t>
      </w:r>
      <w:r w:rsidRPr="00805854">
        <w:t>,</w:t>
      </w:r>
      <w:r w:rsidR="009644DD" w:rsidRPr="00805854">
        <w:t xml:space="preserve"> the </w:t>
      </w:r>
      <w:r w:rsidR="005164AF">
        <w:t>service</w:t>
      </w:r>
      <w:r w:rsidR="009644DD" w:rsidRPr="00805854">
        <w:t xml:space="preserve"> provider would still be obliged to comply with the a</w:t>
      </w:r>
      <w:r w:rsidR="001C686F" w:rsidRPr="00805854">
        <w:t xml:space="preserve">ttached conditions to </w:t>
      </w:r>
      <w:r w:rsidR="00EC3EF6">
        <w:t xml:space="preserve">obtain </w:t>
      </w:r>
      <w:r w:rsidR="005164AF">
        <w:t>its benefit</w:t>
      </w:r>
      <w:r w:rsidRPr="00805854">
        <w:t>.</w:t>
      </w:r>
      <w:r w:rsidR="009644DD" w:rsidRPr="00805854">
        <w:t xml:space="preserve"> For example, a cloud storage provi</w:t>
      </w:r>
      <w:r w:rsidR="00EC3EF6">
        <w:t>der seeking to fall within the C</w:t>
      </w:r>
      <w:r w:rsidR="009644DD" w:rsidRPr="00805854">
        <w:t>ategory C safe harbour for its storage of copyright material on its system must comply with a range of requirements relating to the removal of that material.</w:t>
      </w:r>
      <w:r w:rsidR="009644DD" w:rsidRPr="00805854">
        <w:rPr>
          <w:rStyle w:val="FootnoteReference"/>
          <w:caps/>
        </w:rPr>
        <w:footnoteReference w:id="63"/>
      </w:r>
      <w:r w:rsidR="009644DD" w:rsidRPr="00805854">
        <w:t xml:space="preserve"> To the extent that </w:t>
      </w:r>
      <w:r w:rsidRPr="00805854">
        <w:t>such</w:t>
      </w:r>
      <w:r w:rsidR="009644DD" w:rsidRPr="00805854">
        <w:t xml:space="preserve"> obligations </w:t>
      </w:r>
      <w:r w:rsidR="005164AF">
        <w:t>arise</w:t>
      </w:r>
      <w:r w:rsidR="005164AF" w:rsidRPr="00805854">
        <w:t xml:space="preserve"> </w:t>
      </w:r>
      <w:r w:rsidR="009644DD" w:rsidRPr="00805854">
        <w:t>from the extension of authorisation liability</w:t>
      </w:r>
      <w:r w:rsidRPr="00805854">
        <w:t xml:space="preserve"> (rather than liability under the existing law)</w:t>
      </w:r>
      <w:r w:rsidR="009644DD" w:rsidRPr="00805854">
        <w:t xml:space="preserve">, </w:t>
      </w:r>
      <w:r w:rsidRPr="00805854">
        <w:t>the combined effect of the change</w:t>
      </w:r>
      <w:r w:rsidR="005164AF">
        <w:t>s</w:t>
      </w:r>
      <w:r w:rsidRPr="00805854">
        <w:t xml:space="preserve"> would still be to </w:t>
      </w:r>
      <w:r w:rsidR="005164AF">
        <w:t>burden</w:t>
      </w:r>
      <w:r w:rsidR="005164AF" w:rsidRPr="00805854">
        <w:t xml:space="preserve"> </w:t>
      </w:r>
      <w:r w:rsidRPr="00805854">
        <w:t xml:space="preserve">intermediaries with new </w:t>
      </w:r>
      <w:r w:rsidR="005164AF">
        <w:t>obligations</w:t>
      </w:r>
      <w:r w:rsidRPr="00805854">
        <w:t xml:space="preserve">. </w:t>
      </w:r>
    </w:p>
    <w:p w14:paraId="16E8B52E" w14:textId="718F8DF2" w:rsidR="00486ADF" w:rsidRPr="00805854" w:rsidRDefault="000D341C" w:rsidP="00D4413D">
      <w:pPr>
        <w:pStyle w:val="ListBullet"/>
        <w:jc w:val="both"/>
      </w:pPr>
      <w:r w:rsidRPr="00805854">
        <w:rPr>
          <w:b/>
        </w:rPr>
        <w:t>Increased reliance on safe harbours = increased account terminations:</w:t>
      </w:r>
      <w:r w:rsidRPr="00805854">
        <w:t xml:space="preserve"> </w:t>
      </w:r>
      <w:r w:rsidR="005E3EB8" w:rsidRPr="00805854">
        <w:t xml:space="preserve">If extended authorisation law and extended safe harbours were both enacted, </w:t>
      </w:r>
      <w:r w:rsidR="009644DD" w:rsidRPr="00805854">
        <w:t>one serious</w:t>
      </w:r>
      <w:r w:rsidR="005E3EB8" w:rsidRPr="00805854">
        <w:t xml:space="preserve"> unintended consequence</w:t>
      </w:r>
      <w:r w:rsidR="009644DD" w:rsidRPr="00805854">
        <w:t xml:space="preserve"> may be that it encourages the termination of user accounts.</w:t>
      </w:r>
      <w:r w:rsidR="005E3EB8" w:rsidRPr="00805854">
        <w:t xml:space="preserve"> </w:t>
      </w:r>
      <w:r w:rsidR="005164AF">
        <w:t>This is</w:t>
      </w:r>
      <w:r w:rsidR="005164AF" w:rsidRPr="00805854">
        <w:t xml:space="preserve"> </w:t>
      </w:r>
      <w:r w:rsidR="005E3EB8" w:rsidRPr="00805854">
        <w:t>because, i</w:t>
      </w:r>
      <w:r w:rsidR="00FE23AB" w:rsidRPr="00805854">
        <w:t>n order to take advantage of</w:t>
      </w:r>
      <w:r w:rsidR="009644DD" w:rsidRPr="00805854">
        <w:t xml:space="preserve"> any of</w:t>
      </w:r>
      <w:r w:rsidR="00FE23AB" w:rsidRPr="00805854">
        <w:t xml:space="preserve"> </w:t>
      </w:r>
      <w:r w:rsidR="005164AF">
        <w:t>the safe</w:t>
      </w:r>
      <w:r w:rsidR="005164AF" w:rsidRPr="00805854">
        <w:t xml:space="preserve"> </w:t>
      </w:r>
      <w:r w:rsidR="00FE23AB" w:rsidRPr="00805854">
        <w:t>harbours,</w:t>
      </w:r>
      <w:r w:rsidR="00687051" w:rsidRPr="00805854">
        <w:t xml:space="preserve"> the service provider ‘must adopt and reasonably implement a policy that provides for termination, in appropriate circumstances, of the accounts of repeat infringers.’</w:t>
      </w:r>
      <w:r w:rsidR="00687051" w:rsidRPr="00805854">
        <w:rPr>
          <w:rStyle w:val="FootnoteReference"/>
          <w:caps/>
        </w:rPr>
        <w:footnoteReference w:id="64"/>
      </w:r>
      <w:r w:rsidR="00687051" w:rsidRPr="00805854">
        <w:t xml:space="preserve"> Though the Government states in </w:t>
      </w:r>
      <w:r w:rsidR="00894383">
        <w:t>the Discussion</w:t>
      </w:r>
      <w:r w:rsidR="00687051" w:rsidRPr="00805854">
        <w:t xml:space="preserve"> Paper that it does not expect any ‘industry scheme or commercial arrangement to impose … any measures that would interrupt a subscriber’s internet access’,</w:t>
      </w:r>
      <w:r w:rsidR="00894383">
        <w:rPr>
          <w:rStyle w:val="FootnoteReference"/>
        </w:rPr>
        <w:footnoteReference w:id="65"/>
      </w:r>
      <w:r w:rsidR="00687051" w:rsidRPr="00805854">
        <w:t xml:space="preserve"> termination policies </w:t>
      </w:r>
      <w:r w:rsidR="00894383">
        <w:t>must</w:t>
      </w:r>
      <w:r w:rsidR="00687051" w:rsidRPr="00805854">
        <w:t xml:space="preserve"> be put in place in order for service providers to rely on </w:t>
      </w:r>
      <w:r w:rsidR="00894383">
        <w:t>any of the</w:t>
      </w:r>
      <w:r w:rsidR="00894383" w:rsidRPr="00805854">
        <w:t xml:space="preserve"> </w:t>
      </w:r>
      <w:r w:rsidR="00687051" w:rsidRPr="00805854">
        <w:t>s</w:t>
      </w:r>
      <w:r w:rsidR="00CC6081" w:rsidRPr="00805854">
        <w:t>afe har</w:t>
      </w:r>
      <w:r w:rsidR="00EC3EF6">
        <w:t xml:space="preserve">bours. </w:t>
      </w:r>
      <w:r w:rsidR="00486ADF">
        <w:t xml:space="preserve">The three members of the Full </w:t>
      </w:r>
      <w:r w:rsidR="00894383">
        <w:t xml:space="preserve">Court of the </w:t>
      </w:r>
      <w:r w:rsidR="00486ADF">
        <w:t xml:space="preserve">Federal Court in </w:t>
      </w:r>
      <w:r w:rsidR="00486ADF" w:rsidRPr="00894383">
        <w:rPr>
          <w:i/>
        </w:rPr>
        <w:t>iiNet</w:t>
      </w:r>
      <w:r w:rsidR="00486ADF">
        <w:t xml:space="preserve"> emphasised the need to implement </w:t>
      </w:r>
      <w:r w:rsidR="00486ADF">
        <w:lastRenderedPageBreak/>
        <w:t>genuine termination policies in order to shelter within the safe harbour.</w:t>
      </w:r>
      <w:r w:rsidR="00486ADF">
        <w:rPr>
          <w:rStyle w:val="FootnoteReference"/>
        </w:rPr>
        <w:footnoteReference w:id="66"/>
      </w:r>
      <w:r w:rsidR="00486ADF">
        <w:t xml:space="preserve"> Risk-averse institutions, </w:t>
      </w:r>
      <w:r w:rsidR="00486ADF" w:rsidRPr="00805854">
        <w:t>unsure of the extent of their new obligations</w:t>
      </w:r>
      <w:r w:rsidR="00486ADF">
        <w:t>,</w:t>
      </w:r>
      <w:r w:rsidR="00486ADF" w:rsidRPr="00805854">
        <w:t xml:space="preserve"> may </w:t>
      </w:r>
      <w:r w:rsidR="00486ADF">
        <w:t>only be able to manage their</w:t>
      </w:r>
      <w:r w:rsidR="00486ADF" w:rsidRPr="00805854">
        <w:t xml:space="preserve"> new liability by </w:t>
      </w:r>
      <w:r w:rsidR="00486ADF">
        <w:t>becoming trigger-happy on user termination.</w:t>
      </w:r>
    </w:p>
    <w:p w14:paraId="55A2822E" w14:textId="77777777" w:rsidR="00BD1902" w:rsidRDefault="00BD1902" w:rsidP="00D4413D">
      <w:pPr>
        <w:jc w:val="both"/>
      </w:pPr>
    </w:p>
    <w:p w14:paraId="56690044" w14:textId="77777777" w:rsidR="00001B32" w:rsidRPr="00805854" w:rsidRDefault="001B4CEF" w:rsidP="00D4413D">
      <w:pPr>
        <w:pStyle w:val="Heading2"/>
        <w:jc w:val="both"/>
      </w:pPr>
      <w:bookmarkStart w:id="16" w:name="_Toc397245903"/>
      <w:r>
        <w:t>More</w:t>
      </w:r>
      <w:r w:rsidR="00EB3669" w:rsidRPr="00805854">
        <w:t xml:space="preserve"> red tape</w:t>
      </w:r>
      <w:r>
        <w:t xml:space="preserve"> and</w:t>
      </w:r>
      <w:r w:rsidR="00EB3669" w:rsidRPr="00805854">
        <w:t xml:space="preserve"> </w:t>
      </w:r>
      <w:r>
        <w:t xml:space="preserve">regulation </w:t>
      </w:r>
      <w:r w:rsidR="00E33421" w:rsidRPr="00805854">
        <w:t>= reduced global competitiveness</w:t>
      </w:r>
      <w:bookmarkEnd w:id="16"/>
    </w:p>
    <w:p w14:paraId="473F8A16" w14:textId="77777777" w:rsidR="007C5F8B" w:rsidRDefault="007C5F8B" w:rsidP="00D4413D">
      <w:pPr>
        <w:jc w:val="both"/>
      </w:pPr>
    </w:p>
    <w:p w14:paraId="153C1D94" w14:textId="77777777" w:rsidR="008529D0" w:rsidRPr="00805854" w:rsidRDefault="008529D0" w:rsidP="00D4413D">
      <w:pPr>
        <w:jc w:val="both"/>
      </w:pPr>
      <w:r w:rsidRPr="00805854">
        <w:t>Intermediaries</w:t>
      </w:r>
      <w:r w:rsidR="00A03156" w:rsidRPr="00805854">
        <w:t xml:space="preserve"> exhibited widespread </w:t>
      </w:r>
      <w:r w:rsidR="004241BF" w:rsidRPr="00805854">
        <w:t>concern that the proposed changes would result in significant new compliance burdens.</w:t>
      </w:r>
      <w:r w:rsidR="007E0BCF" w:rsidRPr="00805854">
        <w:t xml:space="preserve"> </w:t>
      </w:r>
      <w:r w:rsidRPr="00805854">
        <w:t xml:space="preserve">This </w:t>
      </w:r>
      <w:r w:rsidR="00154944" w:rsidRPr="00805854">
        <w:t>would be</w:t>
      </w:r>
      <w:r w:rsidRPr="00805854">
        <w:t xml:space="preserve"> the case whether they enter into formal industry arrangements or simply </w:t>
      </w:r>
      <w:r w:rsidR="00154944" w:rsidRPr="00805854">
        <w:t xml:space="preserve">themselves </w:t>
      </w:r>
      <w:r w:rsidRPr="00805854">
        <w:t>proactively take additiona</w:t>
      </w:r>
      <w:r w:rsidR="00154944" w:rsidRPr="00805854">
        <w:t>l steps to limit infringement</w:t>
      </w:r>
      <w:r w:rsidRPr="00805854">
        <w:t xml:space="preserve"> to manage their extended liability.</w:t>
      </w:r>
    </w:p>
    <w:p w14:paraId="3E476752" w14:textId="77777777" w:rsidR="004241BF" w:rsidRPr="00805854" w:rsidRDefault="007E0BCF" w:rsidP="00D4413D">
      <w:pPr>
        <w:jc w:val="both"/>
      </w:pPr>
      <w:r w:rsidRPr="00805854">
        <w:t xml:space="preserve">The kinds of activities which such organisations may find themselves obliged to deal with if the proposed amendment is enacted include: </w:t>
      </w:r>
    </w:p>
    <w:p w14:paraId="5453833D" w14:textId="4078989E" w:rsidR="007E0BCF" w:rsidRPr="00805854" w:rsidRDefault="00D75A1A" w:rsidP="00D4413D">
      <w:pPr>
        <w:pStyle w:val="ListBullet"/>
        <w:jc w:val="both"/>
      </w:pPr>
      <w:r w:rsidRPr="00805854">
        <w:rPr>
          <w:b/>
        </w:rPr>
        <w:t>Develop</w:t>
      </w:r>
      <w:r w:rsidR="007E0BCF" w:rsidRPr="00805854">
        <w:rPr>
          <w:b/>
        </w:rPr>
        <w:t>ing policies to respond to infringement allegations</w:t>
      </w:r>
      <w:r w:rsidR="007E0BCF" w:rsidRPr="00805854">
        <w:t xml:space="preserve"> (</w:t>
      </w:r>
      <w:r w:rsidRPr="00805854">
        <w:t xml:space="preserve">How many warnings? In what circumstances? Who </w:t>
      </w:r>
      <w:r w:rsidR="00DF3799">
        <w:t xml:space="preserve">is </w:t>
      </w:r>
      <w:r w:rsidRPr="00805854">
        <w:t>to bear the costs of enforcement? What sanctions might be appropriate?</w:t>
      </w:r>
      <w:r w:rsidR="007E0BCF" w:rsidRPr="00805854">
        <w:t xml:space="preserve"> How to deal with situations where different right</w:t>
      </w:r>
      <w:r w:rsidR="00DF3799">
        <w:t xml:space="preserve">s </w:t>
      </w:r>
      <w:r w:rsidR="007E0BCF" w:rsidRPr="00805854">
        <w:t xml:space="preserve">holders each demand different action to be taken?) </w:t>
      </w:r>
    </w:p>
    <w:p w14:paraId="22DE9BD2" w14:textId="77777777" w:rsidR="001304E0" w:rsidRPr="00805854" w:rsidRDefault="00D75A1A" w:rsidP="00D4413D">
      <w:pPr>
        <w:pStyle w:val="ListBullet"/>
        <w:jc w:val="both"/>
      </w:pPr>
      <w:r w:rsidRPr="00805854">
        <w:rPr>
          <w:b/>
        </w:rPr>
        <w:t>E</w:t>
      </w:r>
      <w:r w:rsidR="001304E0" w:rsidRPr="00805854">
        <w:rPr>
          <w:b/>
        </w:rPr>
        <w:t>valuating infringement allegations</w:t>
      </w:r>
      <w:r w:rsidR="001304E0" w:rsidRPr="00805854">
        <w:t xml:space="preserve"> </w:t>
      </w:r>
      <w:r w:rsidR="007E0BCF" w:rsidRPr="00805854">
        <w:t>(</w:t>
      </w:r>
      <w:r w:rsidRPr="00805854">
        <w:t>How was the allegation generated? Is the information accurate?</w:t>
      </w:r>
      <w:r w:rsidR="007E0BCF" w:rsidRPr="00805854">
        <w:t xml:space="preserve"> </w:t>
      </w:r>
      <w:r w:rsidRPr="00805854">
        <w:t>How serious is the offence?</w:t>
      </w:r>
      <w:r w:rsidR="007E0BCF" w:rsidRPr="00805854">
        <w:t>)</w:t>
      </w:r>
    </w:p>
    <w:p w14:paraId="510C86E7" w14:textId="77777777" w:rsidR="001304E0" w:rsidRPr="00805854" w:rsidRDefault="00D75A1A" w:rsidP="00D4413D">
      <w:pPr>
        <w:pStyle w:val="ListBullet"/>
        <w:jc w:val="both"/>
      </w:pPr>
      <w:r w:rsidRPr="00805854">
        <w:rPr>
          <w:b/>
        </w:rPr>
        <w:t>A</w:t>
      </w:r>
      <w:r w:rsidR="001304E0" w:rsidRPr="00805854">
        <w:rPr>
          <w:b/>
        </w:rPr>
        <w:t>dditional r</w:t>
      </w:r>
      <w:r w:rsidRPr="00805854">
        <w:rPr>
          <w:b/>
        </w:rPr>
        <w:t>ecord keeping and tracking</w:t>
      </w:r>
      <w:r w:rsidRPr="00805854">
        <w:t xml:space="preserve"> (</w:t>
      </w:r>
      <w:r w:rsidRPr="006E7DCE">
        <w:t>and</w:t>
      </w:r>
      <w:r w:rsidRPr="00805854">
        <w:t xml:space="preserve"> </w:t>
      </w:r>
      <w:r w:rsidR="001304E0" w:rsidRPr="00805854">
        <w:t>ensuring these are consistent with obliga</w:t>
      </w:r>
      <w:r w:rsidR="00CC6081" w:rsidRPr="00805854">
        <w:t>tions under privacy legislation</w:t>
      </w:r>
      <w:r w:rsidR="001304E0" w:rsidRPr="00805854">
        <w:t>)</w:t>
      </w:r>
    </w:p>
    <w:p w14:paraId="68A02DEC" w14:textId="77777777" w:rsidR="001304E0" w:rsidRDefault="00D75A1A" w:rsidP="00D4413D">
      <w:pPr>
        <w:pStyle w:val="ListBullet"/>
        <w:jc w:val="both"/>
        <w:rPr>
          <w:b/>
        </w:rPr>
      </w:pPr>
      <w:r w:rsidRPr="00EC3EF6">
        <w:rPr>
          <w:b/>
        </w:rPr>
        <w:t>P</w:t>
      </w:r>
      <w:r w:rsidR="001304E0" w:rsidRPr="00EC3EF6">
        <w:rPr>
          <w:b/>
        </w:rPr>
        <w:t>assing on warnings</w:t>
      </w:r>
    </w:p>
    <w:p w14:paraId="325E33C2" w14:textId="70CC6D82" w:rsidR="00EA49B7" w:rsidRPr="00EC3EF6" w:rsidRDefault="00EA49B7" w:rsidP="00D4413D">
      <w:pPr>
        <w:pStyle w:val="ListBullet"/>
        <w:jc w:val="both"/>
        <w:rPr>
          <w:b/>
        </w:rPr>
      </w:pPr>
      <w:r>
        <w:rPr>
          <w:b/>
        </w:rPr>
        <w:t xml:space="preserve">Maintaining records to identify ‘repeat infringers’. </w:t>
      </w:r>
      <w:r w:rsidRPr="00486ADF">
        <w:t xml:space="preserve">Privacy legislation would apply to such records </w:t>
      </w:r>
      <w:r w:rsidR="00DF3799">
        <w:t>as they</w:t>
      </w:r>
      <w:r w:rsidR="00DF3799" w:rsidRPr="00486ADF">
        <w:t xml:space="preserve"> </w:t>
      </w:r>
      <w:r w:rsidRPr="00486ADF">
        <w:t>would be ‘personal information’.</w:t>
      </w:r>
    </w:p>
    <w:p w14:paraId="640EA70D" w14:textId="77777777" w:rsidR="001304E0" w:rsidRPr="00EC3EF6" w:rsidRDefault="00D75A1A" w:rsidP="00D4413D">
      <w:pPr>
        <w:pStyle w:val="ListBullet"/>
        <w:jc w:val="both"/>
        <w:rPr>
          <w:b/>
        </w:rPr>
      </w:pPr>
      <w:r w:rsidRPr="00EC3EF6">
        <w:rPr>
          <w:b/>
        </w:rPr>
        <w:t>I</w:t>
      </w:r>
      <w:r w:rsidR="001304E0" w:rsidRPr="00EC3EF6">
        <w:rPr>
          <w:b/>
        </w:rPr>
        <w:t>mplementing punishments</w:t>
      </w:r>
    </w:p>
    <w:p w14:paraId="212B8247" w14:textId="77777777" w:rsidR="00D75A1A" w:rsidRPr="00EC3EF6" w:rsidRDefault="00D75A1A" w:rsidP="00D4413D">
      <w:pPr>
        <w:pStyle w:val="ListBullet"/>
        <w:jc w:val="both"/>
        <w:rPr>
          <w:b/>
        </w:rPr>
      </w:pPr>
      <w:r w:rsidRPr="00EC3EF6">
        <w:rPr>
          <w:b/>
        </w:rPr>
        <w:t>Adjudicating disputes between copyright owners and users</w:t>
      </w:r>
    </w:p>
    <w:p w14:paraId="1D31AE7E" w14:textId="77777777" w:rsidR="001304E0" w:rsidRPr="00805854" w:rsidRDefault="00CC6081" w:rsidP="00D4413D">
      <w:pPr>
        <w:pStyle w:val="ListBullet"/>
        <w:jc w:val="both"/>
      </w:pPr>
      <w:r w:rsidRPr="00805854">
        <w:rPr>
          <w:b/>
        </w:rPr>
        <w:t>M</w:t>
      </w:r>
      <w:r w:rsidR="001304E0" w:rsidRPr="00805854">
        <w:rPr>
          <w:b/>
        </w:rPr>
        <w:t>aking determinations about exceptions</w:t>
      </w:r>
      <w:r w:rsidR="001304E0" w:rsidRPr="00805854">
        <w:t xml:space="preserve"> (eg in case of hardship, special needs</w:t>
      </w:r>
      <w:r w:rsidR="00E87ADE" w:rsidRPr="00805854">
        <w:t>. Was the material being accessed for a school project in circumstances where it was not commercially available, and is that relevant to determining what amounts to reasonable steps?</w:t>
      </w:r>
      <w:r w:rsidR="001304E0" w:rsidRPr="00805854">
        <w:t>)</w:t>
      </w:r>
    </w:p>
    <w:p w14:paraId="15FFE34E" w14:textId="77777777" w:rsidR="001304E0" w:rsidRPr="00EC3EF6" w:rsidRDefault="00D75A1A" w:rsidP="00D4413D">
      <w:pPr>
        <w:pStyle w:val="ListBullet"/>
        <w:jc w:val="both"/>
        <w:rPr>
          <w:b/>
        </w:rPr>
      </w:pPr>
      <w:r w:rsidRPr="00EC3EF6">
        <w:rPr>
          <w:b/>
        </w:rPr>
        <w:t>M</w:t>
      </w:r>
      <w:r w:rsidR="001304E0" w:rsidRPr="00EC3EF6">
        <w:rPr>
          <w:b/>
        </w:rPr>
        <w:t>anaging potential liability for unfounded allegations</w:t>
      </w:r>
    </w:p>
    <w:p w14:paraId="14BFDE69" w14:textId="77777777" w:rsidR="00154944" w:rsidRPr="00805854" w:rsidRDefault="00154944" w:rsidP="00D4413D">
      <w:pPr>
        <w:pStyle w:val="ListBullet"/>
        <w:jc w:val="both"/>
      </w:pPr>
      <w:r w:rsidRPr="00805854">
        <w:rPr>
          <w:b/>
        </w:rPr>
        <w:t>Taking technical steps to alter or limit the use of their products and services</w:t>
      </w:r>
      <w:r w:rsidRPr="00805854">
        <w:t>, including via the possible implementation of filtering, port blocking, slowing speeds etc.</w:t>
      </w:r>
    </w:p>
    <w:p w14:paraId="1FC42907" w14:textId="77777777" w:rsidR="00064D0B" w:rsidRPr="00805854" w:rsidRDefault="00064D0B" w:rsidP="00D4413D">
      <w:pPr>
        <w:pStyle w:val="ListBullet"/>
        <w:numPr>
          <w:ilvl w:val="0"/>
          <w:numId w:val="0"/>
        </w:numPr>
        <w:ind w:left="360"/>
        <w:jc w:val="both"/>
      </w:pPr>
    </w:p>
    <w:p w14:paraId="17A60D00" w14:textId="46ECE709" w:rsidR="007C5F8B" w:rsidRDefault="00CC6081" w:rsidP="00D4413D">
      <w:pPr>
        <w:jc w:val="both"/>
      </w:pPr>
      <w:r w:rsidRPr="00805854">
        <w:t xml:space="preserve">Each of these obligations would </w:t>
      </w:r>
      <w:r w:rsidR="00DF3799">
        <w:t>consume</w:t>
      </w:r>
      <w:r w:rsidR="00DF3799" w:rsidRPr="00805854">
        <w:t xml:space="preserve"> </w:t>
      </w:r>
      <w:r w:rsidRPr="00805854">
        <w:t>finite</w:t>
      </w:r>
      <w:r w:rsidR="00DF3799">
        <w:t xml:space="preserve"> public</w:t>
      </w:r>
      <w:r w:rsidRPr="00805854">
        <w:t xml:space="preserve"> resources to be </w:t>
      </w:r>
      <w:r w:rsidR="00DF3799">
        <w:t>re-</w:t>
      </w:r>
      <w:r w:rsidRPr="00805854">
        <w:t>allocated from elsewhere</w:t>
      </w:r>
      <w:r w:rsidR="0085225F">
        <w:t xml:space="preserve">. The </w:t>
      </w:r>
      <w:r w:rsidR="007C5F8B">
        <w:t>appropriate</w:t>
      </w:r>
      <w:r w:rsidR="0085225F">
        <w:t xml:space="preserve"> allocation of enforcement</w:t>
      </w:r>
      <w:r w:rsidR="007C5F8B">
        <w:t xml:space="preserve"> costs</w:t>
      </w:r>
      <w:r w:rsidR="0085225F">
        <w:t xml:space="preserve"> has been a </w:t>
      </w:r>
      <w:r w:rsidR="007C5F8B">
        <w:t>point of contention</w:t>
      </w:r>
      <w:r w:rsidR="0085225F">
        <w:t xml:space="preserve"> in </w:t>
      </w:r>
      <w:r w:rsidR="007C5F8B">
        <w:t xml:space="preserve">every </w:t>
      </w:r>
      <w:r w:rsidR="0085225F">
        <w:t>jurisdiction where governments have sought to impose new</w:t>
      </w:r>
      <w:r w:rsidR="007C5F8B">
        <w:t xml:space="preserve"> policing</w:t>
      </w:r>
      <w:r w:rsidR="0085225F">
        <w:t xml:space="preserve"> obligations on intermediaries. That global</w:t>
      </w:r>
      <w:r w:rsidR="00964097">
        <w:t xml:space="preserve"> experience shows that i</w:t>
      </w:r>
      <w:r w:rsidR="00725EAD">
        <w:t>ntermediaries will not be able to rely on right</w:t>
      </w:r>
      <w:r w:rsidR="00DF3799">
        <w:t xml:space="preserve">s </w:t>
      </w:r>
      <w:r w:rsidR="00725EAD">
        <w:t xml:space="preserve">holders being willing to </w:t>
      </w:r>
      <w:r w:rsidR="0085225F">
        <w:t xml:space="preserve">contribute to that </w:t>
      </w:r>
      <w:r w:rsidR="00725EAD">
        <w:t>burden</w:t>
      </w:r>
      <w:r w:rsidR="00964097">
        <w:t>. I</w:t>
      </w:r>
      <w:r w:rsidR="00725EAD">
        <w:t xml:space="preserve">n New Zealand, for example, where </w:t>
      </w:r>
      <w:r w:rsidR="00964097">
        <w:t xml:space="preserve">the actual cost to ISPs of issuing a single notice is </w:t>
      </w:r>
      <w:r w:rsidR="00DF3799">
        <w:t>NZ</w:t>
      </w:r>
      <w:r w:rsidR="00964097">
        <w:t xml:space="preserve">$30 or more, </w:t>
      </w:r>
      <w:r w:rsidR="0085225F">
        <w:t xml:space="preserve">the </w:t>
      </w:r>
      <w:r w:rsidR="00964097">
        <w:t xml:space="preserve">recording industry proposed </w:t>
      </w:r>
      <w:r w:rsidR="0085225F">
        <w:t>contributing</w:t>
      </w:r>
      <w:r w:rsidR="00964097">
        <w:t xml:space="preserve"> just </w:t>
      </w:r>
      <w:r w:rsidR="00DF3799">
        <w:t>NZ</w:t>
      </w:r>
      <w:r w:rsidR="00964097">
        <w:t>$2 or less,</w:t>
      </w:r>
      <w:r w:rsidR="00964097" w:rsidRPr="00DF3799">
        <w:rPr>
          <w:vertAlign w:val="superscript"/>
        </w:rPr>
        <w:footnoteReference w:id="67"/>
      </w:r>
      <w:r w:rsidR="00964097">
        <w:t xml:space="preserve"> and the movie industry </w:t>
      </w:r>
      <w:r w:rsidR="0085225F">
        <w:t xml:space="preserve">insisted it should pay ’a </w:t>
      </w:r>
      <w:r w:rsidR="0085225F">
        <w:lastRenderedPageBreak/>
        <w:t xml:space="preserve">matter of pennies’ – or </w:t>
      </w:r>
      <w:r w:rsidR="007C5F8B">
        <w:t xml:space="preserve">even </w:t>
      </w:r>
      <w:r w:rsidR="0085225F">
        <w:t>nothing at all.</w:t>
      </w:r>
      <w:r w:rsidR="0085225F" w:rsidRPr="00DF3799">
        <w:rPr>
          <w:vertAlign w:val="superscript"/>
        </w:rPr>
        <w:footnoteReference w:id="68"/>
      </w:r>
      <w:r w:rsidR="0085225F">
        <w:t xml:space="preserve"> In many cases, the resources used to enforce these private rights would be public money intended for government, education, and research, diverted without any </w:t>
      </w:r>
      <w:r w:rsidR="007C5F8B">
        <w:t xml:space="preserve">evidence that there would be a corresponding benefit in return. </w:t>
      </w:r>
    </w:p>
    <w:p w14:paraId="589E0B65" w14:textId="40B219BC" w:rsidR="00154944" w:rsidRPr="00805854" w:rsidRDefault="001C686F" w:rsidP="00D4413D">
      <w:pPr>
        <w:jc w:val="both"/>
      </w:pPr>
      <w:r w:rsidRPr="00805854">
        <w:t>Members of the</w:t>
      </w:r>
      <w:r w:rsidR="0044177B" w:rsidRPr="00805854">
        <w:t xml:space="preserve"> technology sector, p</w:t>
      </w:r>
      <w:r w:rsidR="005E3EB8" w:rsidRPr="00805854">
        <w:t>articularly hosting and cloud-co</w:t>
      </w:r>
      <w:r w:rsidR="0044177B" w:rsidRPr="00805854">
        <w:t>mputing providers,</w:t>
      </w:r>
      <w:r w:rsidR="00154944" w:rsidRPr="00805854">
        <w:t xml:space="preserve"> suggested</w:t>
      </w:r>
      <w:r w:rsidRPr="00805854">
        <w:t xml:space="preserve"> </w:t>
      </w:r>
      <w:r w:rsidR="0044177B" w:rsidRPr="00805854">
        <w:t xml:space="preserve">that the changes might disproportionately disadvantage emerging participants compared to industry incumbents, and </w:t>
      </w:r>
      <w:r w:rsidRPr="00805854">
        <w:t>have a deleterious effect on competition</w:t>
      </w:r>
      <w:r w:rsidR="0044177B" w:rsidRPr="00805854">
        <w:t xml:space="preserve">. </w:t>
      </w:r>
      <w:r w:rsidRPr="00805854">
        <w:t xml:space="preserve">Various </w:t>
      </w:r>
      <w:r w:rsidR="00064D0B" w:rsidRPr="00805854">
        <w:t xml:space="preserve">technology sector </w:t>
      </w:r>
      <w:r w:rsidRPr="00805854">
        <w:t xml:space="preserve">members also indicated that the proposed changes </w:t>
      </w:r>
      <w:r w:rsidR="00064D0B" w:rsidRPr="00805854">
        <w:t xml:space="preserve">would make Australia a less </w:t>
      </w:r>
      <w:r w:rsidR="00E00468" w:rsidRPr="00805854">
        <w:t>attractive</w:t>
      </w:r>
      <w:r w:rsidR="00064D0B" w:rsidRPr="00805854">
        <w:t xml:space="preserve"> place to invest</w:t>
      </w:r>
      <w:r w:rsidR="009F6D42" w:rsidRPr="00805854">
        <w:t>, and encourage offshoring and capital relocation.</w:t>
      </w:r>
      <w:r w:rsidR="00064D0B" w:rsidRPr="00805854">
        <w:t xml:space="preserve"> </w:t>
      </w:r>
      <w:r w:rsidR="003748EC" w:rsidRPr="00805854">
        <w:t>There was a widespread view that the change would put the Australian technology sector at a decisive disadvantage to international competitors</w:t>
      </w:r>
      <w:r w:rsidR="00F24C55" w:rsidRPr="00805854">
        <w:t>, particularly in the provision of hosting and data centre operation</w:t>
      </w:r>
      <w:r w:rsidR="003748EC" w:rsidRPr="00805854">
        <w:t>.</w:t>
      </w:r>
      <w:r w:rsidR="00F24C55" w:rsidRPr="00805854">
        <w:t xml:space="preserve"> </w:t>
      </w:r>
      <w:r w:rsidR="00BF7358" w:rsidRPr="00805854">
        <w:t>One representative of a large technology firm asked, ‘why would you set up a new cloud storage service in Australia knowing you’d have more obligations than anywhere else in the world?’</w:t>
      </w:r>
      <w:r w:rsidR="00F24C55" w:rsidRPr="00805854">
        <w:t xml:space="preserve"> Another described the proposal as opening up ‘a world of risk’.</w:t>
      </w:r>
      <w:r w:rsidRPr="00805854">
        <w:t xml:space="preserve"> Others queried the cost/benefit analysis. By downgrading the power to prevent infringement, </w:t>
      </w:r>
      <w:r w:rsidR="00154944" w:rsidRPr="00805854">
        <w:t xml:space="preserve">new </w:t>
      </w:r>
      <w:r w:rsidRPr="00805854">
        <w:t xml:space="preserve">liability would accrue regardless of whether the intermediary was best placed to reduce the infringement. </w:t>
      </w:r>
      <w:r w:rsidR="00154944" w:rsidRPr="00805854">
        <w:t>From a risk management perspective, technology companies indicated that the proposed changes to the law would oblige them to consider taking greater proactive steps to reduce infringement. However, t</w:t>
      </w:r>
      <w:r w:rsidRPr="00805854">
        <w:t>here are obvious inefficiencies in obliging</w:t>
      </w:r>
      <w:r w:rsidR="00154944" w:rsidRPr="00805854">
        <w:t xml:space="preserve"> owners of networks to take new proactive steps to reduce infringement without fully taking into account the costs that would impose (including degradation of performance and higher fees), and the benefits likely to be achieved</w:t>
      </w:r>
      <w:r w:rsidR="00DD2069">
        <w:t xml:space="preserve"> in return</w:t>
      </w:r>
      <w:r w:rsidR="00154944" w:rsidRPr="00805854">
        <w:t xml:space="preserve">. </w:t>
      </w:r>
    </w:p>
    <w:p w14:paraId="42280439" w14:textId="09C3C1C0" w:rsidR="00154944" w:rsidRDefault="00154944" w:rsidP="00D4413D">
      <w:pPr>
        <w:jc w:val="both"/>
      </w:pPr>
      <w:r w:rsidRPr="00805854">
        <w:t xml:space="preserve">Universities also expressed concern that, by being burdened </w:t>
      </w:r>
      <w:r w:rsidR="003D3989">
        <w:t>with</w:t>
      </w:r>
      <w:r w:rsidR="003D3989" w:rsidRPr="00805854">
        <w:t xml:space="preserve"> </w:t>
      </w:r>
      <w:r w:rsidRPr="00805854">
        <w:t>more extensive liability than their overseas counterparts, they would become less competitive</w:t>
      </w:r>
      <w:r w:rsidR="003D3989">
        <w:t xml:space="preserve"> internationally</w:t>
      </w:r>
      <w:r w:rsidRPr="00805854">
        <w:t xml:space="preserve">, the opposite of what the </w:t>
      </w:r>
      <w:r w:rsidR="003D3989">
        <w:t>G</w:t>
      </w:r>
      <w:r w:rsidR="003D3989" w:rsidRPr="00805854">
        <w:t xml:space="preserve">overnment’s </w:t>
      </w:r>
      <w:r w:rsidRPr="00805854">
        <w:t xml:space="preserve">deregulation agenda had promised. </w:t>
      </w:r>
    </w:p>
    <w:p w14:paraId="1436D314" w14:textId="77777777" w:rsidR="00154944" w:rsidRPr="00805854" w:rsidRDefault="00154944" w:rsidP="00D4413D">
      <w:pPr>
        <w:jc w:val="both"/>
      </w:pPr>
    </w:p>
    <w:p w14:paraId="164C6DFA" w14:textId="77777777" w:rsidR="004D590B" w:rsidRPr="00805854" w:rsidRDefault="001C686F" w:rsidP="00D4413D">
      <w:pPr>
        <w:pStyle w:val="Heading1"/>
        <w:jc w:val="both"/>
      </w:pPr>
      <w:bookmarkStart w:id="17" w:name="_Toc397245904"/>
      <w:r w:rsidRPr="00805854">
        <w:t>Situ</w:t>
      </w:r>
      <w:r w:rsidR="002E323A" w:rsidRPr="00805854">
        <w:t>ating the proposal within t</w:t>
      </w:r>
      <w:r w:rsidR="00A052EF" w:rsidRPr="00805854">
        <w:t>he gl</w:t>
      </w:r>
      <w:r w:rsidR="004D590B" w:rsidRPr="00805854">
        <w:t>obal context</w:t>
      </w:r>
      <w:bookmarkEnd w:id="17"/>
    </w:p>
    <w:p w14:paraId="0D23BCC8" w14:textId="77777777" w:rsidR="004D590B" w:rsidRDefault="004D590B" w:rsidP="00D4413D">
      <w:pPr>
        <w:pStyle w:val="Heading3"/>
        <w:jc w:val="both"/>
      </w:pPr>
    </w:p>
    <w:p w14:paraId="45DE030F" w14:textId="6036B9BA" w:rsidR="004D590B" w:rsidRPr="00805854" w:rsidRDefault="004D590B" w:rsidP="00D4413D">
      <w:pPr>
        <w:jc w:val="both"/>
        <w:rPr>
          <w:rFonts w:eastAsiaTheme="minorEastAsia"/>
          <w:bCs/>
          <w:lang w:eastAsia="zh-CN"/>
        </w:rPr>
      </w:pPr>
      <w:r w:rsidRPr="00805854">
        <w:t xml:space="preserve">The </w:t>
      </w:r>
      <w:r w:rsidR="003D3989">
        <w:t>D</w:t>
      </w:r>
      <w:r w:rsidR="003D3989" w:rsidRPr="00805854">
        <w:t xml:space="preserve">iscussion </w:t>
      </w:r>
      <w:r w:rsidR="0094353F">
        <w:t>P</w:t>
      </w:r>
      <w:r w:rsidRPr="00805854">
        <w:t xml:space="preserve">aper claims that </w:t>
      </w:r>
      <w:r w:rsidRPr="00805854">
        <w:rPr>
          <w:rFonts w:eastAsiaTheme="minorEastAsia"/>
          <w:bCs/>
          <w:lang w:eastAsia="zh-CN"/>
        </w:rPr>
        <w:t>‘</w:t>
      </w:r>
      <w:r w:rsidR="003D3989">
        <w:rPr>
          <w:rFonts w:eastAsiaTheme="minorEastAsia"/>
          <w:bCs/>
          <w:lang w:eastAsia="zh-CN"/>
        </w:rPr>
        <w:t>[e]</w:t>
      </w:r>
      <w:r w:rsidR="003D3989" w:rsidRPr="00805854">
        <w:rPr>
          <w:rFonts w:eastAsiaTheme="minorEastAsia"/>
          <w:bCs/>
          <w:lang w:eastAsia="zh-CN"/>
        </w:rPr>
        <w:t>xtending authori</w:t>
      </w:r>
      <w:r w:rsidR="003D3989">
        <w:rPr>
          <w:rFonts w:eastAsiaTheme="minorEastAsia"/>
          <w:bCs/>
          <w:lang w:eastAsia="zh-CN"/>
        </w:rPr>
        <w:t>s</w:t>
      </w:r>
      <w:r w:rsidR="003D3989" w:rsidRPr="00805854">
        <w:rPr>
          <w:rFonts w:eastAsiaTheme="minorEastAsia"/>
          <w:bCs/>
          <w:lang w:eastAsia="zh-CN"/>
        </w:rPr>
        <w:t xml:space="preserve">ation </w:t>
      </w:r>
      <w:r w:rsidRPr="00805854">
        <w:rPr>
          <w:rFonts w:eastAsiaTheme="minorEastAsia"/>
          <w:bCs/>
          <w:lang w:eastAsia="zh-CN"/>
        </w:rPr>
        <w:t>liability is essential to ensuring the existence of an effective legal framework that encourages industry cooperation and functions as originally intended, and is consistent with Australia’s international obligations’</w:t>
      </w:r>
      <w:r w:rsidR="003D3989">
        <w:rPr>
          <w:rFonts w:eastAsiaTheme="minorEastAsia"/>
          <w:bCs/>
          <w:lang w:eastAsia="zh-CN"/>
        </w:rPr>
        <w:t>, including Australia’s obligations under free trade agreements with the United States, Singapore and Korea.</w:t>
      </w:r>
      <w:r w:rsidRPr="00805854">
        <w:rPr>
          <w:rStyle w:val="FootnoteReference"/>
          <w:rFonts w:eastAsiaTheme="minorEastAsia"/>
          <w:bCs/>
          <w:lang w:eastAsia="zh-CN"/>
        </w:rPr>
        <w:footnoteReference w:id="69"/>
      </w:r>
      <w:r w:rsidRPr="00805854">
        <w:rPr>
          <w:rFonts w:eastAsiaTheme="minorEastAsia"/>
          <w:bCs/>
          <w:lang w:eastAsia="zh-CN"/>
        </w:rPr>
        <w:t xml:space="preserve"> </w:t>
      </w:r>
      <w:r w:rsidR="00C255DF" w:rsidRPr="00805854">
        <w:rPr>
          <w:rFonts w:eastAsiaTheme="minorEastAsia"/>
          <w:bCs/>
          <w:lang w:eastAsia="zh-CN"/>
        </w:rPr>
        <w:t>However, a</w:t>
      </w:r>
      <w:r w:rsidR="00154944" w:rsidRPr="00805854">
        <w:rPr>
          <w:rFonts w:eastAsiaTheme="minorEastAsia"/>
          <w:bCs/>
          <w:lang w:eastAsia="zh-CN"/>
        </w:rPr>
        <w:t>s</w:t>
      </w:r>
      <w:r w:rsidR="00C255DF" w:rsidRPr="00805854">
        <w:rPr>
          <w:rFonts w:eastAsiaTheme="minorEastAsia"/>
          <w:bCs/>
          <w:lang w:eastAsia="zh-CN"/>
        </w:rPr>
        <w:t xml:space="preserve"> detailed</w:t>
      </w:r>
      <w:r w:rsidR="00154944" w:rsidRPr="00805854">
        <w:rPr>
          <w:rFonts w:eastAsiaTheme="minorEastAsia"/>
          <w:bCs/>
          <w:lang w:eastAsia="zh-CN"/>
        </w:rPr>
        <w:t xml:space="preserve"> legal analysis by Associate Professor Kimberlee Weatherall has demonstrated, it seems clear that Australia’s existing law is already fully compliant with those international obligations.</w:t>
      </w:r>
      <w:r w:rsidR="00C255DF" w:rsidRPr="00805854">
        <w:rPr>
          <w:rStyle w:val="FootnoteReference"/>
          <w:rFonts w:eastAsiaTheme="minorEastAsia"/>
          <w:bCs/>
          <w:lang w:eastAsia="zh-CN"/>
        </w:rPr>
        <w:footnoteReference w:id="70"/>
      </w:r>
      <w:r w:rsidR="00154944" w:rsidRPr="00805854">
        <w:rPr>
          <w:rFonts w:eastAsiaTheme="minorEastAsia"/>
          <w:bCs/>
          <w:lang w:eastAsia="zh-CN"/>
        </w:rPr>
        <w:t xml:space="preserve"> Indeed,</w:t>
      </w:r>
      <w:r w:rsidRPr="00805854">
        <w:rPr>
          <w:rFonts w:eastAsiaTheme="minorEastAsia"/>
          <w:bCs/>
          <w:lang w:eastAsia="zh-CN"/>
        </w:rPr>
        <w:t xml:space="preserve"> </w:t>
      </w:r>
      <w:r w:rsidRPr="00805854">
        <w:t xml:space="preserve">Australia’s authorisation law is already at least as broad as its </w:t>
      </w:r>
      <w:r w:rsidR="00C9055D">
        <w:t>overseas</w:t>
      </w:r>
      <w:r w:rsidR="00C9055D" w:rsidRPr="00805854">
        <w:t xml:space="preserve"> </w:t>
      </w:r>
      <w:r w:rsidRPr="00805854">
        <w:t>equivalents – and in some cases, extends considerably further.</w:t>
      </w:r>
      <w:r w:rsidR="00C255DF" w:rsidRPr="00805854">
        <w:t xml:space="preserve"> This </w:t>
      </w:r>
      <w:r w:rsidR="00C255DF" w:rsidRPr="00805854">
        <w:rPr>
          <w:rFonts w:eastAsiaTheme="minorEastAsia"/>
          <w:bCs/>
          <w:lang w:eastAsia="zh-CN"/>
        </w:rPr>
        <w:t>can be demonstrated by comparison to jurisdictions with which it shares close historical and trading links: the UK, Canada, New Zealand and the United States.</w:t>
      </w:r>
    </w:p>
    <w:p w14:paraId="71282A71" w14:textId="77777777" w:rsidR="004D590B" w:rsidRPr="00805854" w:rsidRDefault="004D590B" w:rsidP="00D4413D">
      <w:pPr>
        <w:jc w:val="both"/>
      </w:pPr>
      <w:r w:rsidRPr="00805854">
        <w:lastRenderedPageBreak/>
        <w:t xml:space="preserve">Like Australia, the </w:t>
      </w:r>
      <w:r w:rsidR="005133FC" w:rsidRPr="00805854">
        <w:t xml:space="preserve">three Commonwealth countries </w:t>
      </w:r>
      <w:r w:rsidRPr="00805854">
        <w:t>each use authorisation frameworks to address questions of secondary infringement.</w:t>
      </w:r>
      <w:r w:rsidR="005133FC" w:rsidRPr="00805854">
        <w:t xml:space="preserve"> While they share similar statutory origins, they have evolved to have rather different scope and content in each.</w:t>
      </w:r>
      <w:r w:rsidR="006D3410" w:rsidRPr="00805854">
        <w:t xml:space="preserve"> </w:t>
      </w:r>
    </w:p>
    <w:p w14:paraId="2CF122A5" w14:textId="77777777" w:rsidR="004D590B" w:rsidRPr="00805854" w:rsidRDefault="004D590B" w:rsidP="00D4413D">
      <w:pPr>
        <w:jc w:val="both"/>
      </w:pPr>
      <w:r w:rsidRPr="00805854">
        <w:t>Under UK law, authorisation has been interpreted as requiring the defendant to have granted or purported to grant the third party the right to do the infringing act.</w:t>
      </w:r>
      <w:r w:rsidRPr="00805854">
        <w:rPr>
          <w:rStyle w:val="FootnoteReference"/>
        </w:rPr>
        <w:footnoteReference w:id="71"/>
      </w:r>
      <w:r w:rsidRPr="00805854">
        <w:t xml:space="preserve"> In the leading authority of </w:t>
      </w:r>
      <w:r w:rsidRPr="00805854">
        <w:rPr>
          <w:i/>
        </w:rPr>
        <w:t>CBS Songs v Amstrad Consumer Electronics</w:t>
      </w:r>
      <w:r w:rsidRPr="00805854">
        <w:t xml:space="preserve">, the House of Lords held that the manufacturer of tape recorders that allowed rapid copying (and advertised them in terms likely to encourage home copying of copyrighted music) had not authorised any resulting third party infringement, because, even though it conferred the </w:t>
      </w:r>
      <w:r w:rsidRPr="00805854">
        <w:rPr>
          <w:i/>
        </w:rPr>
        <w:t>power</w:t>
      </w:r>
      <w:r w:rsidRPr="00805854">
        <w:t xml:space="preserve"> to copy, it did not grant the </w:t>
      </w:r>
      <w:r w:rsidRPr="00805854">
        <w:rPr>
          <w:i/>
        </w:rPr>
        <w:t>right</w:t>
      </w:r>
      <w:r w:rsidRPr="00805854">
        <w:t xml:space="preserve"> to copy.</w:t>
      </w:r>
      <w:r w:rsidRPr="00805854">
        <w:rPr>
          <w:rStyle w:val="FootnoteReference"/>
        </w:rPr>
        <w:footnoteReference w:id="72"/>
      </w:r>
      <w:r w:rsidR="00E92236" w:rsidRPr="00805854">
        <w:t xml:space="preserve"> Under this interpretation, t</w:t>
      </w:r>
      <w:r w:rsidRPr="00805854">
        <w:t>he clearer it is that the defendant is facilitating infringing behaviour (rather than granting legal permission to copy), the less likely it is that they are authorising infringement.</w:t>
      </w:r>
      <w:r w:rsidRPr="00805854">
        <w:rPr>
          <w:rStyle w:val="FootnoteReference"/>
        </w:rPr>
        <w:footnoteReference w:id="73"/>
      </w:r>
      <w:r w:rsidRPr="00805854">
        <w:t xml:space="preserve"> T</w:t>
      </w:r>
      <w:r w:rsidR="00F4787D" w:rsidRPr="00805854">
        <w:t>his position is considerably narrower than that taken in Australia</w:t>
      </w:r>
      <w:r w:rsidR="005133FC" w:rsidRPr="00805854">
        <w:t>. T</w:t>
      </w:r>
      <w:r w:rsidRPr="00805854">
        <w:t>hough some lower courts have subsequently sought to broaden the definition, the House of Lords authority remains good law.</w:t>
      </w:r>
      <w:r w:rsidRPr="00805854">
        <w:rPr>
          <w:rStyle w:val="FootnoteReference"/>
        </w:rPr>
        <w:footnoteReference w:id="74"/>
      </w:r>
    </w:p>
    <w:p w14:paraId="39CAD581" w14:textId="738B0EC8" w:rsidR="004D590B" w:rsidRPr="00805854" w:rsidRDefault="004D590B" w:rsidP="00D4413D">
      <w:pPr>
        <w:jc w:val="both"/>
      </w:pPr>
      <w:r w:rsidRPr="00805854">
        <w:t xml:space="preserve">In Canada, the leading authority is </w:t>
      </w:r>
      <w:r w:rsidRPr="00805854">
        <w:rPr>
          <w:i/>
        </w:rPr>
        <w:t>CCH Canadian v Law Society of Upper Canada</w:t>
      </w:r>
      <w:r w:rsidRPr="00805854">
        <w:t>.</w:t>
      </w:r>
      <w:r w:rsidR="0088286B">
        <w:rPr>
          <w:rStyle w:val="FootnoteReference"/>
        </w:rPr>
        <w:footnoteReference w:id="75"/>
      </w:r>
      <w:r w:rsidRPr="00805854">
        <w:t xml:space="preserve"> The facts </w:t>
      </w:r>
      <w:r w:rsidR="00CF701A" w:rsidRPr="00805854">
        <w:t>closely matched</w:t>
      </w:r>
      <w:r w:rsidRPr="00805854">
        <w:t xml:space="preserve"> those in </w:t>
      </w:r>
      <w:r w:rsidRPr="00805854">
        <w:rPr>
          <w:i/>
        </w:rPr>
        <w:t>Moorhouse</w:t>
      </w:r>
      <w:r w:rsidR="00CF701A" w:rsidRPr="00805854">
        <w:rPr>
          <w:iCs/>
        </w:rPr>
        <w:t>, with</w:t>
      </w:r>
      <w:r w:rsidRPr="00805854">
        <w:t xml:space="preserve"> plaintiff publishers </w:t>
      </w:r>
      <w:r w:rsidR="00CF701A" w:rsidRPr="00805854">
        <w:t>arguing</w:t>
      </w:r>
      <w:r w:rsidRPr="00805854">
        <w:t xml:space="preserve"> that, by providing photocopying machines alongside their copyrighted works, a law library had authorised any resulting third party infringement. The Supreme Court</w:t>
      </w:r>
      <w:r w:rsidR="00B764AE">
        <w:t xml:space="preserve"> of Canada</w:t>
      </w:r>
      <w:r w:rsidRPr="00805854">
        <w:t xml:space="preserve"> rejected the argument in strong terms, finding that, even if infringement had occurred, the library had too little control over the actions of the direct infringers to justify the imposition of liability.</w:t>
      </w:r>
      <w:r w:rsidRPr="00805854">
        <w:rPr>
          <w:rStyle w:val="FootnoteReference"/>
        </w:rPr>
        <w:footnoteReference w:id="76"/>
      </w:r>
      <w:r w:rsidRPr="00805854">
        <w:t xml:space="preserve"> In making that finding, the Canadian court criticised the approach that had been taken the Australian High Court in </w:t>
      </w:r>
      <w:r w:rsidRPr="00805854">
        <w:rPr>
          <w:i/>
        </w:rPr>
        <w:t>Moorhouse</w:t>
      </w:r>
      <w:r w:rsidRPr="00805854">
        <w:t xml:space="preserve">, finding that it </w:t>
      </w:r>
      <w:r w:rsidRPr="00805854">
        <w:rPr>
          <w:szCs w:val="20"/>
        </w:rPr>
        <w:t>‘shift[ed] the balance in copyright too far in favo</w:t>
      </w:r>
      <w:r w:rsidR="00B764AE">
        <w:rPr>
          <w:szCs w:val="20"/>
        </w:rPr>
        <w:t>u</w:t>
      </w:r>
      <w:r w:rsidRPr="00805854">
        <w:rPr>
          <w:szCs w:val="20"/>
        </w:rPr>
        <w:t>r of the owner’s rights</w:t>
      </w:r>
      <w:r w:rsidR="00B764AE">
        <w:rPr>
          <w:szCs w:val="20"/>
        </w:rPr>
        <w:t xml:space="preserve"> and </w:t>
      </w:r>
      <w:r w:rsidRPr="00805854">
        <w:rPr>
          <w:szCs w:val="20"/>
        </w:rPr>
        <w:t>unnecessarily interfere[d] with the proper use of copyrighted works for the good of society as a whole.’</w:t>
      </w:r>
      <w:r w:rsidR="006D3410" w:rsidRPr="00805854">
        <w:rPr>
          <w:rStyle w:val="FootnoteReference"/>
          <w:szCs w:val="20"/>
        </w:rPr>
        <w:footnoteReference w:id="77"/>
      </w:r>
      <w:r w:rsidR="005617C1" w:rsidRPr="00805854">
        <w:rPr>
          <w:szCs w:val="20"/>
        </w:rPr>
        <w:t xml:space="preserve"> </w:t>
      </w:r>
      <w:r w:rsidRPr="00805854">
        <w:rPr>
          <w:szCs w:val="20"/>
        </w:rPr>
        <w:t>Th</w:t>
      </w:r>
      <w:r w:rsidR="009760D1" w:rsidRPr="00805854">
        <w:rPr>
          <w:szCs w:val="20"/>
        </w:rPr>
        <w:t xml:space="preserve">ere is no suggestion that </w:t>
      </w:r>
      <w:r w:rsidRPr="00805854">
        <w:rPr>
          <w:szCs w:val="20"/>
        </w:rPr>
        <w:t xml:space="preserve">Australia’s High Court </w:t>
      </w:r>
      <w:r w:rsidR="009760D1" w:rsidRPr="00805854">
        <w:rPr>
          <w:szCs w:val="20"/>
        </w:rPr>
        <w:t xml:space="preserve">in </w:t>
      </w:r>
      <w:r w:rsidR="009760D1" w:rsidRPr="00805854">
        <w:rPr>
          <w:i/>
          <w:iCs/>
          <w:szCs w:val="20"/>
        </w:rPr>
        <w:t>iiNet</w:t>
      </w:r>
      <w:r w:rsidR="009760D1" w:rsidRPr="00805854">
        <w:rPr>
          <w:szCs w:val="20"/>
        </w:rPr>
        <w:t xml:space="preserve"> overturned </w:t>
      </w:r>
      <w:r w:rsidR="009760D1" w:rsidRPr="00805854">
        <w:rPr>
          <w:i/>
          <w:iCs/>
          <w:szCs w:val="20"/>
        </w:rPr>
        <w:t>Moorhouse</w:t>
      </w:r>
      <w:r w:rsidR="009760D1" w:rsidRPr="00805854">
        <w:rPr>
          <w:szCs w:val="20"/>
        </w:rPr>
        <w:t xml:space="preserve">, or that it would be decided differently </w:t>
      </w:r>
      <w:r w:rsidR="00EE7F17" w:rsidRPr="00805854">
        <w:rPr>
          <w:szCs w:val="20"/>
        </w:rPr>
        <w:t>under our existing law</w:t>
      </w:r>
      <w:r w:rsidR="009760D1" w:rsidRPr="00805854">
        <w:rPr>
          <w:szCs w:val="20"/>
        </w:rPr>
        <w:t>.</w:t>
      </w:r>
      <w:r w:rsidRPr="00805854">
        <w:rPr>
          <w:szCs w:val="20"/>
        </w:rPr>
        <w:t xml:space="preserve"> Accordingly, the Australian law remains considerably broader than the Canadian equivalent. </w:t>
      </w:r>
    </w:p>
    <w:p w14:paraId="356D8D3B" w14:textId="77777777" w:rsidR="006D3410" w:rsidRPr="00805854" w:rsidRDefault="004D590B" w:rsidP="00D4413D">
      <w:pPr>
        <w:jc w:val="both"/>
      </w:pPr>
      <w:r w:rsidRPr="00805854">
        <w:t>New Zealand’s authorisation doctrine has rarely been tested</w:t>
      </w:r>
      <w:r w:rsidR="006D3410" w:rsidRPr="00805854">
        <w:t>, and ‘scant’ authorities leave it unclear whether the Australian or UK approaches might be preferred.</w:t>
      </w:r>
      <w:r w:rsidR="006D3410" w:rsidRPr="00805854">
        <w:rPr>
          <w:rStyle w:val="FootnoteReference"/>
        </w:rPr>
        <w:footnoteReference w:id="78"/>
      </w:r>
    </w:p>
    <w:p w14:paraId="46CFE255" w14:textId="2C8900B2" w:rsidR="004D590B" w:rsidRPr="00805854" w:rsidRDefault="004D590B" w:rsidP="00D4413D">
      <w:pPr>
        <w:jc w:val="both"/>
      </w:pPr>
      <w:r w:rsidRPr="00805854">
        <w:t xml:space="preserve">Unlike its Commonwealth counterparts, the US’s secondary liability law is not based on authorisation. Instead, its common law has evolved to recognise three separate ways in which secondary liability might </w:t>
      </w:r>
      <w:r w:rsidR="00B635F8">
        <w:t>arise</w:t>
      </w:r>
      <w:r w:rsidRPr="00805854">
        <w:t xml:space="preserve">: where a defendant has vicariously engaged in </w:t>
      </w:r>
      <w:r w:rsidR="00EA49B7">
        <w:t>infringement</w:t>
      </w:r>
      <w:r w:rsidRPr="00805854">
        <w:t xml:space="preserve">, contributed to it, or induced it. </w:t>
      </w:r>
      <w:r w:rsidRPr="00805854">
        <w:rPr>
          <w:rFonts w:eastAsiaTheme="minorEastAsia"/>
          <w:bCs/>
          <w:lang w:eastAsia="zh-CN"/>
        </w:rPr>
        <w:t xml:space="preserve">Vicarious liability </w:t>
      </w:r>
      <w:r w:rsidR="00B635F8">
        <w:rPr>
          <w:rFonts w:eastAsiaTheme="minorEastAsia"/>
          <w:bCs/>
          <w:lang w:eastAsia="zh-CN"/>
        </w:rPr>
        <w:t>arises</w:t>
      </w:r>
      <w:r w:rsidR="00B635F8" w:rsidRPr="00805854">
        <w:rPr>
          <w:rFonts w:eastAsiaTheme="minorEastAsia"/>
          <w:bCs/>
          <w:lang w:eastAsia="zh-CN"/>
        </w:rPr>
        <w:t xml:space="preserve"> </w:t>
      </w:r>
      <w:r w:rsidRPr="00805854">
        <w:rPr>
          <w:rFonts w:eastAsiaTheme="minorEastAsia"/>
          <w:bCs/>
          <w:lang w:eastAsia="zh-CN"/>
        </w:rPr>
        <w:t xml:space="preserve">where a defendant has the ‘right and ability’ to supervise the third party’s copyright </w:t>
      </w:r>
      <w:r w:rsidRPr="00805854">
        <w:rPr>
          <w:rFonts w:eastAsiaTheme="minorEastAsia"/>
          <w:bCs/>
          <w:lang w:eastAsia="zh-CN"/>
        </w:rPr>
        <w:lastRenderedPageBreak/>
        <w:t>infringement, and a direct financial interest in its occurrence,</w:t>
      </w:r>
      <w:r w:rsidRPr="00805854">
        <w:rPr>
          <w:rStyle w:val="FootnoteReference"/>
        </w:rPr>
        <w:footnoteReference w:id="79"/>
      </w:r>
      <w:r w:rsidRPr="00805854">
        <w:rPr>
          <w:rFonts w:eastAsiaTheme="minorEastAsia"/>
          <w:bCs/>
          <w:lang w:eastAsia="zh-CN"/>
        </w:rPr>
        <w:t xml:space="preserve"> while contributory liability requires the defendant, with knowledge of the third party infringement, to have ‘induced, caused or materially contributed’ to it.</w:t>
      </w:r>
      <w:r w:rsidRPr="00805854">
        <w:rPr>
          <w:rStyle w:val="FootnoteReference"/>
        </w:rPr>
        <w:footnoteReference w:id="80"/>
      </w:r>
      <w:r w:rsidRPr="00805854">
        <w:rPr>
          <w:rFonts w:eastAsiaTheme="minorEastAsia"/>
          <w:bCs/>
          <w:lang w:eastAsia="zh-CN"/>
        </w:rPr>
        <w:t xml:space="preserve"> </w:t>
      </w:r>
      <w:r w:rsidR="00523AEA" w:rsidRPr="00805854">
        <w:rPr>
          <w:rFonts w:eastAsiaTheme="minorEastAsia"/>
          <w:bCs/>
          <w:lang w:eastAsia="zh-CN"/>
        </w:rPr>
        <w:t>B</w:t>
      </w:r>
      <w:r w:rsidRPr="00805854">
        <w:rPr>
          <w:rFonts w:eastAsiaTheme="minorEastAsia"/>
          <w:bCs/>
          <w:lang w:eastAsia="zh-CN"/>
        </w:rPr>
        <w:t xml:space="preserve">oth doctrines </w:t>
      </w:r>
      <w:r w:rsidR="00523AEA" w:rsidRPr="00805854">
        <w:rPr>
          <w:rFonts w:eastAsiaTheme="minorEastAsia"/>
          <w:bCs/>
          <w:lang w:eastAsia="zh-CN"/>
        </w:rPr>
        <w:t xml:space="preserve">have been interpreted as requiring </w:t>
      </w:r>
      <w:r w:rsidRPr="00805854">
        <w:t>a significant degree of direct and immediate control over the third party infringement.</w:t>
      </w:r>
      <w:r w:rsidRPr="00805854">
        <w:rPr>
          <w:rStyle w:val="FootnoteReference"/>
        </w:rPr>
        <w:footnoteReference w:id="81"/>
      </w:r>
      <w:r w:rsidR="00EF29F1" w:rsidRPr="00805854">
        <w:t xml:space="preserve"> </w:t>
      </w:r>
      <w:r w:rsidR="006C2432">
        <w:t>V</w:t>
      </w:r>
      <w:r w:rsidR="00523AEA" w:rsidRPr="00805854">
        <w:t>icarious liability requires a close ‘monitoring and supervisory relationship between the defendant and actual infringer.</w:t>
      </w:r>
      <w:r w:rsidR="00523AEA" w:rsidRPr="00805854">
        <w:rPr>
          <w:rStyle w:val="FootnoteReference"/>
        </w:rPr>
        <w:footnoteReference w:id="82"/>
      </w:r>
      <w:r w:rsidR="00523AEA" w:rsidRPr="00805854">
        <w:t xml:space="preserve"> </w:t>
      </w:r>
      <w:r w:rsidR="00925EAB" w:rsidRPr="00805854">
        <w:t xml:space="preserve">Contributory liability’s knowledge element, where the product or service is capable of substantial non-infringing uses, can be satisfied </w:t>
      </w:r>
      <w:r w:rsidR="006C2432" w:rsidRPr="00805854">
        <w:t xml:space="preserve">only </w:t>
      </w:r>
      <w:r w:rsidR="00925EAB" w:rsidRPr="00805854">
        <w:t xml:space="preserve">by actual knowledge </w:t>
      </w:r>
      <w:r w:rsidR="00523AEA" w:rsidRPr="00805854">
        <w:t xml:space="preserve">held at a time the defendant was contributing to the third party infringement or could do something to </w:t>
      </w:r>
      <w:r w:rsidR="00925EAB" w:rsidRPr="00805854">
        <w:t>prevent</w:t>
      </w:r>
      <w:r w:rsidR="00523AEA" w:rsidRPr="00805854">
        <w:t xml:space="preserve"> it.</w:t>
      </w:r>
      <w:r w:rsidR="00925EAB" w:rsidRPr="00805854">
        <w:rPr>
          <w:rStyle w:val="FootnoteReference"/>
        </w:rPr>
        <w:footnoteReference w:id="83"/>
      </w:r>
      <w:r w:rsidR="00925EAB" w:rsidRPr="00805854">
        <w:t xml:space="preserve"> In </w:t>
      </w:r>
      <w:r w:rsidRPr="00805854">
        <w:t xml:space="preserve">the early 2000s, P2P software providers </w:t>
      </w:r>
      <w:r w:rsidR="00925EAB" w:rsidRPr="00805854">
        <w:t xml:space="preserve">effectively </w:t>
      </w:r>
      <w:r w:rsidRPr="00805854">
        <w:t>bypass</w:t>
      </w:r>
      <w:r w:rsidR="00925EAB" w:rsidRPr="00805854">
        <w:t>ed</w:t>
      </w:r>
      <w:r w:rsidRPr="00805854">
        <w:t xml:space="preserve"> the law by designing their technologies to eliminate that liability-attracti</w:t>
      </w:r>
      <w:r w:rsidR="00925EAB" w:rsidRPr="00805854">
        <w:t>ng control. Confident of avoiding liability, they then encouraged</w:t>
      </w:r>
      <w:r w:rsidRPr="00805854">
        <w:t xml:space="preserve"> their users to put them to infringing use.</w:t>
      </w:r>
      <w:r w:rsidRPr="00805854">
        <w:rPr>
          <w:rStyle w:val="FootnoteReference"/>
        </w:rPr>
        <w:footnoteReference w:id="84"/>
      </w:r>
      <w:r w:rsidRPr="00805854">
        <w:t xml:space="preserve"> The US Supreme Court respond</w:t>
      </w:r>
      <w:r w:rsidR="00925EAB" w:rsidRPr="00805854">
        <w:t xml:space="preserve">ed </w:t>
      </w:r>
      <w:r w:rsidRPr="00805854">
        <w:t xml:space="preserve">by introducing a third doctrine, inducement, of which control is not an element. </w:t>
      </w:r>
      <w:r w:rsidRPr="00805854">
        <w:rPr>
          <w:rFonts w:eastAsiaTheme="minorEastAsia"/>
          <w:bCs/>
          <w:lang w:eastAsia="zh-CN"/>
        </w:rPr>
        <w:t>It applies where a defendant</w:t>
      </w:r>
      <w:r w:rsidRPr="00805854">
        <w:t xml:space="preserve"> provides a device or service ‘with the object of promoting its use to infringe copyright, as shown by clear expression or other affirmative steps taken to foster infringement.’</w:t>
      </w:r>
      <w:r w:rsidRPr="00805854">
        <w:rPr>
          <w:rStyle w:val="FootnoteReference"/>
        </w:rPr>
        <w:footnoteReference w:id="85"/>
      </w:r>
      <w:r w:rsidRPr="00805854">
        <w:t xml:space="preserve"> The creation of the third doctrine was driven by the need to capture situations where defendants have only indirect or attenuated powers to prevent third party infringement, but where their involvement is nonetheless such to justify liability. As </w:t>
      </w:r>
      <w:r w:rsidRPr="00805854">
        <w:rPr>
          <w:i/>
        </w:rPr>
        <w:t>Sharman</w:t>
      </w:r>
      <w:r w:rsidRPr="00805854">
        <w:t xml:space="preserve"> (discussed above) demonstrates, Australia’s existing authorisation law already has the built-in flexibility to respond to such situations; the more intimately the defendant is involved</w:t>
      </w:r>
      <w:r w:rsidR="00EE7F17" w:rsidRPr="00805854">
        <w:t xml:space="preserve"> in the infringement, the less </w:t>
      </w:r>
      <w:r w:rsidRPr="00805854">
        <w:t xml:space="preserve">power </w:t>
      </w:r>
      <w:r w:rsidR="00EE7F17" w:rsidRPr="00805854">
        <w:t xml:space="preserve">it needs to have </w:t>
      </w:r>
      <w:r w:rsidRPr="00805854">
        <w:t xml:space="preserve">to prevent it to justify a finding of liability.  Thus, the reach of Australia’s authorisation law </w:t>
      </w:r>
      <w:r w:rsidR="00925EAB" w:rsidRPr="00805854">
        <w:t xml:space="preserve">already </w:t>
      </w:r>
      <w:r w:rsidRPr="00805854">
        <w:t>approximates the combined scope of the three US doctrines.</w:t>
      </w:r>
      <w:r w:rsidR="00D01669">
        <w:rPr>
          <w:rStyle w:val="FootnoteReference"/>
        </w:rPr>
        <w:footnoteReference w:id="86"/>
      </w:r>
      <w:r w:rsidRPr="00805854">
        <w:t xml:space="preserve"> </w:t>
      </w:r>
    </w:p>
    <w:p w14:paraId="302A9ED0" w14:textId="259AC4ED" w:rsidR="004D590B" w:rsidRPr="00805854" w:rsidRDefault="00120EF4" w:rsidP="00D4413D">
      <w:pPr>
        <w:jc w:val="both"/>
      </w:pPr>
      <w:r>
        <w:t>This analysis demonstrates that</w:t>
      </w:r>
      <w:r w:rsidR="00150652" w:rsidRPr="00805854">
        <w:t xml:space="preserve"> the Aust</w:t>
      </w:r>
      <w:r w:rsidR="006C2432">
        <w:t>ralian law is already as broad</w:t>
      </w:r>
      <w:r w:rsidR="00150652" w:rsidRPr="00805854">
        <w:t xml:space="preserve"> </w:t>
      </w:r>
      <w:r w:rsidR="001D2CBE">
        <w:t xml:space="preserve">as </w:t>
      </w:r>
      <w:r w:rsidR="00486ADF">
        <w:t>(</w:t>
      </w:r>
      <w:r w:rsidR="00150652" w:rsidRPr="00805854">
        <w:t>or broader than</w:t>
      </w:r>
      <w:r w:rsidR="001D2CBE">
        <w:t>)</w:t>
      </w:r>
      <w:r w:rsidR="00150652" w:rsidRPr="00805854">
        <w:t xml:space="preserve"> </w:t>
      </w:r>
      <w:r w:rsidR="001D2CBE">
        <w:t>overseas</w:t>
      </w:r>
      <w:r w:rsidR="001D2CBE" w:rsidRPr="00805854">
        <w:t xml:space="preserve"> </w:t>
      </w:r>
      <w:r w:rsidR="00150652" w:rsidRPr="00805854">
        <w:t xml:space="preserve">equivalents. </w:t>
      </w:r>
      <w:r w:rsidR="006C2432">
        <w:t xml:space="preserve">The breadth of the existing law is further highlighted by the </w:t>
      </w:r>
      <w:r w:rsidR="006C2432" w:rsidRPr="00805854">
        <w:t xml:space="preserve">practical point that </w:t>
      </w:r>
      <w:r w:rsidR="006C2432">
        <w:t xml:space="preserve">Australia is </w:t>
      </w:r>
      <w:r w:rsidR="006C2432" w:rsidRPr="00805854">
        <w:t>the only jurisdiction in which an ISP has been sued for mere failure to pass on unsubstantiated infrin</w:t>
      </w:r>
      <w:r w:rsidR="006C2432">
        <w:t>gement allegations.</w:t>
      </w:r>
      <w:r w:rsidR="006C2432" w:rsidRPr="00805854">
        <w:t xml:space="preserve"> </w:t>
      </w:r>
      <w:r w:rsidR="00150652" w:rsidRPr="00805854">
        <w:t>The current</w:t>
      </w:r>
      <w:r w:rsidR="0080422E" w:rsidRPr="00805854">
        <w:t xml:space="preserve"> proposal to extend Aust</w:t>
      </w:r>
      <w:r w:rsidR="00170727" w:rsidRPr="00805854">
        <w:t xml:space="preserve">ralia’s authorisation law still further would impose </w:t>
      </w:r>
      <w:r w:rsidR="0080422E" w:rsidRPr="00805854">
        <w:t xml:space="preserve">new obligations on all sectors beyond those required of their competitors overseas. Those obligations may even extend to </w:t>
      </w:r>
      <w:r w:rsidR="00174D93" w:rsidRPr="00805854">
        <w:t>new general obligations to monitor and/or filter their customers’ behaviour; something which has been expressly rejected in the EU via multiple judgments of the Court of Justice of the European Union</w:t>
      </w:r>
      <w:r w:rsidR="003A6FA3" w:rsidRPr="00805854">
        <w:t xml:space="preserve"> as being contrary to the fundamental rights of intermediaries and users</w:t>
      </w:r>
      <w:r w:rsidR="00174D93" w:rsidRPr="00805854">
        <w:t>.</w:t>
      </w:r>
      <w:r w:rsidR="00F27EEB" w:rsidRPr="001D2CBE">
        <w:rPr>
          <w:vertAlign w:val="superscript"/>
        </w:rPr>
        <w:footnoteReference w:id="87"/>
      </w:r>
      <w:r w:rsidR="00DD2069">
        <w:t xml:space="preserve"> That would also seemingly go beyond that required under safe harbour law, which in Australia, as in its US progenitor, expressly imposes no duty to monitor.</w:t>
      </w:r>
      <w:r w:rsidR="00DD2069">
        <w:rPr>
          <w:rStyle w:val="FootnoteReference"/>
        </w:rPr>
        <w:footnoteReference w:id="88"/>
      </w:r>
      <w:r w:rsidR="007479B2" w:rsidRPr="00805854">
        <w:t xml:space="preserve"> </w:t>
      </w:r>
      <w:r w:rsidR="00150652" w:rsidRPr="00805854">
        <w:t xml:space="preserve"> </w:t>
      </w:r>
      <w:r w:rsidR="00486DAC">
        <w:t xml:space="preserve">They would certainly place rights holders, including many large foreign companies, in an extremely favourable position </w:t>
      </w:r>
      <w:r w:rsidR="00EF6A20">
        <w:t>in their commercial dealings with</w:t>
      </w:r>
      <w:r w:rsidR="00B45DF4">
        <w:t xml:space="preserve"> Australian intermediaries</w:t>
      </w:r>
      <w:r w:rsidR="00E23C24">
        <w:t xml:space="preserve"> and consumers.  </w:t>
      </w:r>
    </w:p>
    <w:p w14:paraId="6E1B536C" w14:textId="63D64FBE" w:rsidR="00925EAB" w:rsidRPr="00805854" w:rsidRDefault="00C80F72" w:rsidP="00D4413D">
      <w:pPr>
        <w:pStyle w:val="Heading3"/>
        <w:keepNext/>
        <w:spacing w:after="240"/>
        <w:jc w:val="both"/>
      </w:pPr>
      <w:bookmarkStart w:id="18" w:name="_Toc397245905"/>
      <w:r>
        <w:lastRenderedPageBreak/>
        <w:t>W</w:t>
      </w:r>
      <w:r w:rsidR="00925EAB" w:rsidRPr="00805854">
        <w:t>hat about graduated responses?</w:t>
      </w:r>
      <w:bookmarkEnd w:id="18"/>
    </w:p>
    <w:p w14:paraId="295C497A" w14:textId="4958B976" w:rsidR="00F97D75" w:rsidRPr="00805854" w:rsidRDefault="00925EAB" w:rsidP="0027683A">
      <w:pPr>
        <w:jc w:val="both"/>
        <w:rPr>
          <w:bCs/>
        </w:rPr>
      </w:pPr>
      <w:r w:rsidRPr="00805854">
        <w:rPr>
          <w:bCs/>
        </w:rPr>
        <w:t xml:space="preserve">In several jurisdictions around the world, ISPs are </w:t>
      </w:r>
      <w:r w:rsidR="00DC3F43" w:rsidRPr="00805854">
        <w:rPr>
          <w:bCs/>
        </w:rPr>
        <w:t>required by law to play a greater role in online copyright enforcement</w:t>
      </w:r>
      <w:r w:rsidRPr="00805854">
        <w:rPr>
          <w:bCs/>
        </w:rPr>
        <w:t>.</w:t>
      </w:r>
      <w:r w:rsidRPr="00805854">
        <w:rPr>
          <w:rStyle w:val="FootnoteReference"/>
          <w:bCs/>
        </w:rPr>
        <w:footnoteReference w:id="89"/>
      </w:r>
      <w:r w:rsidRPr="00805854">
        <w:rPr>
          <w:bCs/>
        </w:rPr>
        <w:t xml:space="preserve"> However, in no country are these obligations imposed via extensions to the general law governing secondary infringement. The various schemes </w:t>
      </w:r>
      <w:r w:rsidR="006C2432">
        <w:rPr>
          <w:bCs/>
        </w:rPr>
        <w:t>apply only</w:t>
      </w:r>
      <w:r w:rsidRPr="00805854">
        <w:rPr>
          <w:bCs/>
        </w:rPr>
        <w:t xml:space="preserve"> to ISPs</w:t>
      </w:r>
      <w:r w:rsidR="006C2432">
        <w:rPr>
          <w:bCs/>
        </w:rPr>
        <w:t>. T</w:t>
      </w:r>
      <w:r w:rsidRPr="00805854">
        <w:rPr>
          <w:bCs/>
        </w:rPr>
        <w:t xml:space="preserve">hey do not impose additional obligations on other intermediaries, and </w:t>
      </w:r>
      <w:r w:rsidR="0086262F" w:rsidRPr="00805854">
        <w:rPr>
          <w:bCs/>
        </w:rPr>
        <w:t>thus avoid</w:t>
      </w:r>
      <w:r w:rsidR="0027683A">
        <w:rPr>
          <w:bCs/>
        </w:rPr>
        <w:t xml:space="preserve"> imposing the kind of additional burdens on other intermediaries </w:t>
      </w:r>
      <w:r w:rsidR="002E019F" w:rsidRPr="00805854">
        <w:rPr>
          <w:bCs/>
        </w:rPr>
        <w:t>that would result if the current proposal were to be enacted.</w:t>
      </w:r>
      <w:r w:rsidR="0086262F" w:rsidRPr="00805854">
        <w:rPr>
          <w:bCs/>
        </w:rPr>
        <w:t xml:space="preserve"> </w:t>
      </w:r>
      <w:r w:rsidR="0086262F" w:rsidRPr="00C22D2D">
        <w:rPr>
          <w:bCs/>
        </w:rPr>
        <w:t xml:space="preserve">Furthermore, they are statutory </w:t>
      </w:r>
      <w:r w:rsidR="00A42492" w:rsidRPr="00C22D2D">
        <w:rPr>
          <w:bCs/>
        </w:rPr>
        <w:t>in nature</w:t>
      </w:r>
      <w:r w:rsidR="006C2432" w:rsidRPr="00C22D2D">
        <w:rPr>
          <w:bCs/>
        </w:rPr>
        <w:t>.</w:t>
      </w:r>
      <w:r w:rsidR="006C2432">
        <w:rPr>
          <w:bCs/>
        </w:rPr>
        <w:t xml:space="preserve"> </w:t>
      </w:r>
      <w:r w:rsidR="00A42492">
        <w:rPr>
          <w:bCs/>
        </w:rPr>
        <w:t xml:space="preserve">Each one </w:t>
      </w:r>
      <w:r w:rsidR="0086262F" w:rsidRPr="00805854">
        <w:rPr>
          <w:bCs/>
        </w:rPr>
        <w:t>clearly set</w:t>
      </w:r>
      <w:r w:rsidR="00A42492">
        <w:rPr>
          <w:bCs/>
        </w:rPr>
        <w:t>s</w:t>
      </w:r>
      <w:r w:rsidR="0086262F" w:rsidRPr="00805854">
        <w:rPr>
          <w:bCs/>
        </w:rPr>
        <w:t xml:space="preserve"> out </w:t>
      </w:r>
      <w:r w:rsidR="00A42492">
        <w:rPr>
          <w:bCs/>
        </w:rPr>
        <w:t xml:space="preserve">the relevant parties’ </w:t>
      </w:r>
      <w:r w:rsidR="0086262F" w:rsidRPr="00805854">
        <w:rPr>
          <w:bCs/>
        </w:rPr>
        <w:t xml:space="preserve">rights and obligations, and </w:t>
      </w:r>
      <w:r w:rsidR="00A42492">
        <w:rPr>
          <w:bCs/>
        </w:rPr>
        <w:t xml:space="preserve">they </w:t>
      </w:r>
      <w:r w:rsidR="0086262F" w:rsidRPr="00805854">
        <w:rPr>
          <w:bCs/>
        </w:rPr>
        <w:t>incorporate various checks and balances to manage the competing interests.</w:t>
      </w:r>
      <w:r w:rsidR="006C2432">
        <w:rPr>
          <w:bCs/>
        </w:rPr>
        <w:t xml:space="preserve"> </w:t>
      </w:r>
      <w:r w:rsidR="00A42492">
        <w:rPr>
          <w:bCs/>
        </w:rPr>
        <w:t>(The handful of voluntary schemes operating without such oversight, by agreement between some ISPs and some right</w:t>
      </w:r>
      <w:r w:rsidR="00C22D2D">
        <w:rPr>
          <w:bCs/>
        </w:rPr>
        <w:t xml:space="preserve">s </w:t>
      </w:r>
      <w:r w:rsidR="00A42492">
        <w:rPr>
          <w:bCs/>
        </w:rPr>
        <w:t xml:space="preserve">holders, are readily distinguishable from the current proposal in that they are not compelled to do so by the threat of liability.) By contrast, the current proposal </w:t>
      </w:r>
      <w:r w:rsidR="00FD42BB">
        <w:rPr>
          <w:bCs/>
        </w:rPr>
        <w:t xml:space="preserve">is not only not limited to ISPs, but </w:t>
      </w:r>
      <w:r w:rsidR="00A42492">
        <w:rPr>
          <w:bCs/>
        </w:rPr>
        <w:t>leaves an extraordinary amount of heavy lifting to the common law.</w:t>
      </w:r>
    </w:p>
    <w:p w14:paraId="547B8EE2" w14:textId="77777777" w:rsidR="00593FC9" w:rsidRPr="00805854" w:rsidRDefault="00593FC9" w:rsidP="00D4413D">
      <w:pPr>
        <w:pStyle w:val="Heading1"/>
        <w:jc w:val="both"/>
      </w:pPr>
      <w:bookmarkStart w:id="19" w:name="_Toc397245906"/>
      <w:r w:rsidRPr="00805854">
        <w:t>Conclusions</w:t>
      </w:r>
      <w:bookmarkEnd w:id="19"/>
    </w:p>
    <w:p w14:paraId="23254B78" w14:textId="77777777" w:rsidR="00593FC9" w:rsidRPr="00805854" w:rsidRDefault="00593FC9" w:rsidP="00D4413D">
      <w:pPr>
        <w:jc w:val="both"/>
      </w:pPr>
      <w:r w:rsidRPr="00805854">
        <w:t xml:space="preserve"> </w:t>
      </w:r>
    </w:p>
    <w:p w14:paraId="68CD0C7D" w14:textId="0CF60EAC" w:rsidR="0086262F" w:rsidRPr="00805854" w:rsidRDefault="0086262F" w:rsidP="009164D1">
      <w:pPr>
        <w:jc w:val="both"/>
      </w:pPr>
      <w:r w:rsidRPr="00805854">
        <w:t xml:space="preserve">Australia’s secondary liability law is already as broad </w:t>
      </w:r>
      <w:r w:rsidR="00C22D2D">
        <w:t xml:space="preserve">as </w:t>
      </w:r>
      <w:r w:rsidRPr="00805854">
        <w:t xml:space="preserve">or broader than those of its </w:t>
      </w:r>
      <w:r w:rsidR="00C22D2D">
        <w:t xml:space="preserve">overseas </w:t>
      </w:r>
      <w:r w:rsidRPr="00805854">
        <w:t xml:space="preserve">counterparts, and </w:t>
      </w:r>
      <w:r w:rsidR="00C22D2D">
        <w:t xml:space="preserve">is </w:t>
      </w:r>
      <w:r w:rsidRPr="00805854">
        <w:t xml:space="preserve">fully compliant with its international obligations. Expanding it further still would create </w:t>
      </w:r>
      <w:r w:rsidR="00EC3EF6">
        <w:t xml:space="preserve">unprecedented </w:t>
      </w:r>
      <w:r w:rsidRPr="00805854">
        <w:t>new liability for Australia’s institutions, requiring them to take more proactive steps to prevent infringement and pressuring them to enter into private enforcement deals with major right</w:t>
      </w:r>
      <w:r w:rsidR="00C22D2D">
        <w:t xml:space="preserve">s </w:t>
      </w:r>
      <w:r w:rsidRPr="00805854">
        <w:t>holders.</w:t>
      </w:r>
      <w:r w:rsidR="00961164">
        <w:t xml:space="preserve"> </w:t>
      </w:r>
      <w:r w:rsidR="009164D1">
        <w:t xml:space="preserve">The way in which the proposal is drafted would use a ‘one size fits all’ approach contrary to a century of authority stating the necessity of determining liability with reference to the individual facts of each case. </w:t>
      </w:r>
      <w:r w:rsidR="00961164">
        <w:t xml:space="preserve">It would also give copyright owners considerably broader rights against Australian individuals and institutions than </w:t>
      </w:r>
      <w:r w:rsidR="00124790">
        <w:t>those suffering economic loss because of torts committed in other contexts, without any justification of why they should receive such special treatment.</w:t>
      </w:r>
      <w:r w:rsidRPr="00805854">
        <w:t xml:space="preserve"> </w:t>
      </w:r>
      <w:r w:rsidR="002B5990">
        <w:t>Elevating right</w:t>
      </w:r>
      <w:r w:rsidR="00C22D2D">
        <w:t xml:space="preserve">s </w:t>
      </w:r>
      <w:r w:rsidR="002B5990">
        <w:t>holders into that position of power</w:t>
      </w:r>
      <w:r w:rsidR="00805854">
        <w:t xml:space="preserve"> would </w:t>
      </w:r>
      <w:r w:rsidR="002B5990">
        <w:t xml:space="preserve">result in arrangements that may have insufficient regard for the rights and interests of intermediaries and users. The proposed </w:t>
      </w:r>
      <w:r w:rsidR="00C22D2D">
        <w:t xml:space="preserve">amendments </w:t>
      </w:r>
      <w:r w:rsidR="002B5990">
        <w:t>would</w:t>
      </w:r>
      <w:r w:rsidRPr="00805854">
        <w:t xml:space="preserve"> likely result in persistent rightholder lobbying for new regulations that go further and do more</w:t>
      </w:r>
      <w:r w:rsidR="002B5990">
        <w:t>, perpetuating uncertainty about the scope of intermediaries’ obligations</w:t>
      </w:r>
      <w:r w:rsidR="00C22D2D">
        <w:t xml:space="preserve"> and liability</w:t>
      </w:r>
      <w:r w:rsidRPr="00805854">
        <w:t>.</w:t>
      </w:r>
      <w:r w:rsidR="00805854" w:rsidRPr="00805854">
        <w:t xml:space="preserve"> Australian intermediaries and institutions, including libraries, schools, universities, cloud providers and search engines</w:t>
      </w:r>
      <w:r w:rsidR="002B5990">
        <w:t>, would</w:t>
      </w:r>
      <w:r w:rsidR="00805854" w:rsidRPr="00805854">
        <w:t xml:space="preserve"> </w:t>
      </w:r>
      <w:r w:rsidR="002B5990">
        <w:t xml:space="preserve">also </w:t>
      </w:r>
      <w:r w:rsidR="00805854" w:rsidRPr="00805854">
        <w:t>be obliged to rely on ‘safe harbours’</w:t>
      </w:r>
      <w:r w:rsidR="002B5990">
        <w:t xml:space="preserve"> to manage their liability. That </w:t>
      </w:r>
      <w:r w:rsidR="00A42492">
        <w:t>would</w:t>
      </w:r>
      <w:r w:rsidR="002B5990">
        <w:t xml:space="preserve"> likely result in more u</w:t>
      </w:r>
      <w:r w:rsidR="00A42492">
        <w:t xml:space="preserve">ser account terminations, but, even then, would not </w:t>
      </w:r>
      <w:r w:rsidR="00805854" w:rsidRPr="00805854">
        <w:t xml:space="preserve">fully </w:t>
      </w:r>
      <w:r w:rsidR="00805854">
        <w:t>shelter</w:t>
      </w:r>
      <w:r w:rsidR="00805854" w:rsidRPr="00805854">
        <w:t xml:space="preserve"> </w:t>
      </w:r>
      <w:r w:rsidR="002B5990">
        <w:t>intermediaries</w:t>
      </w:r>
      <w:r w:rsidR="00805854" w:rsidRPr="00805854">
        <w:t xml:space="preserve"> from their </w:t>
      </w:r>
      <w:r w:rsidR="002B5990">
        <w:t xml:space="preserve">increased regulatory burdens. Requiring Australian intermediaries to do more than their </w:t>
      </w:r>
      <w:r w:rsidR="00C22D2D">
        <w:t xml:space="preserve">overseas </w:t>
      </w:r>
      <w:r w:rsidR="002B5990">
        <w:t xml:space="preserve">counterparts makes Australia less competitive, and a less attractive place for investment. All </w:t>
      </w:r>
      <w:r w:rsidR="00C22D2D">
        <w:t xml:space="preserve">of </w:t>
      </w:r>
      <w:r w:rsidR="002B5990">
        <w:t>this would be imposed with little clear idea about the benefits that the change</w:t>
      </w:r>
      <w:r w:rsidR="00484718">
        <w:t>s</w:t>
      </w:r>
      <w:r w:rsidR="002B5990">
        <w:t xml:space="preserve"> would be likely to effectuate.</w:t>
      </w:r>
    </w:p>
    <w:p w14:paraId="4D2B7A8A" w14:textId="22276017" w:rsidR="00C9187B" w:rsidRDefault="0086262F" w:rsidP="00D4413D">
      <w:pPr>
        <w:jc w:val="both"/>
        <w:rPr>
          <w:rFonts w:asciiTheme="majorHAnsi" w:hAnsiTheme="majorHAnsi"/>
          <w:color w:val="F72B1E" w:themeColor="accent1"/>
          <w:sz w:val="48"/>
          <w:szCs w:val="48"/>
        </w:rPr>
      </w:pPr>
      <w:r w:rsidRPr="00805854">
        <w:t>If new obligations are to be imposed on intermediaries to proactively assist rightholders in copyright enforcement activities</w:t>
      </w:r>
      <w:r w:rsidR="002B5990">
        <w:t xml:space="preserve">, </w:t>
      </w:r>
      <w:r w:rsidR="00484718">
        <w:t>these</w:t>
      </w:r>
      <w:r w:rsidR="00484718" w:rsidRPr="00805854">
        <w:t xml:space="preserve"> </w:t>
      </w:r>
      <w:r w:rsidRPr="00805854">
        <w:t xml:space="preserve">should </w:t>
      </w:r>
      <w:r w:rsidR="00484718">
        <w:t>be imposed</w:t>
      </w:r>
      <w:r w:rsidR="00484718" w:rsidRPr="00805854">
        <w:t xml:space="preserve"> </w:t>
      </w:r>
      <w:r w:rsidRPr="00805854">
        <w:t>independently of the authorisation framework</w:t>
      </w:r>
      <w:r w:rsidR="002B5990">
        <w:t xml:space="preserve">. By more accurately targeting the intermediaries best placed to limit infringement, the Government could eliminate much of the collateral damage that would occur as a result of a too-wide </w:t>
      </w:r>
      <w:r w:rsidR="00120EF4">
        <w:t>expansion.</w:t>
      </w:r>
      <w:r w:rsidR="002B5990">
        <w:t xml:space="preserve"> A targeted scheme that is the subject of full debate and consultation would more clearly identify </w:t>
      </w:r>
      <w:r w:rsidRPr="00805854">
        <w:t xml:space="preserve">the new responsibilities to be imposed and the costs and benefits that </w:t>
      </w:r>
      <w:r w:rsidR="00A42492">
        <w:t>would</w:t>
      </w:r>
      <w:r w:rsidRPr="00805854">
        <w:t xml:space="preserve"> result</w:t>
      </w:r>
      <w:r w:rsidR="00D21571">
        <w:t>, reduce uncertainty, and ensure the incorporation of checks and balances to appropriately balance the various competing interests</w:t>
      </w:r>
      <w:r w:rsidRPr="00805854">
        <w:t xml:space="preserve">. </w:t>
      </w:r>
      <w:r w:rsidR="00C9187B">
        <w:br w:type="page"/>
      </w:r>
    </w:p>
    <w:p w14:paraId="2E7A5F66" w14:textId="59716AF0" w:rsidR="00C9187B" w:rsidRDefault="003476C9" w:rsidP="00D4413D">
      <w:pPr>
        <w:pStyle w:val="Heading1"/>
        <w:jc w:val="both"/>
      </w:pPr>
      <w:bookmarkStart w:id="20" w:name="_Toc397245907"/>
      <w:r w:rsidRPr="00805854">
        <w:lastRenderedPageBreak/>
        <w:t>About the author</w:t>
      </w:r>
      <w:bookmarkEnd w:id="20"/>
    </w:p>
    <w:p w14:paraId="496DFF10" w14:textId="77777777" w:rsidR="00C9187B" w:rsidRPr="00C9187B" w:rsidRDefault="00C9187B" w:rsidP="00D4413D">
      <w:pPr>
        <w:jc w:val="both"/>
      </w:pPr>
    </w:p>
    <w:p w14:paraId="567539B0" w14:textId="2340B030" w:rsidR="003C4E32" w:rsidRDefault="003476C9" w:rsidP="00D4413D">
      <w:pPr>
        <w:jc w:val="both"/>
      </w:pPr>
      <w:r w:rsidRPr="00805854">
        <w:t xml:space="preserve">Dr Rebecca Giblin is an Australian legal academic who has published widely on Australian and international law relating to secondary liability for copyright infringement, including a book, </w:t>
      </w:r>
      <w:r w:rsidRPr="00805854">
        <w:rPr>
          <w:i/>
          <w:iCs/>
        </w:rPr>
        <w:t>Code Wars</w:t>
      </w:r>
      <w:r w:rsidRPr="00805854">
        <w:t xml:space="preserve"> (Edward Elgar, 2011). She is also an expert on international public and private graduated responses and the author of  ‘Evaluating Graduated Response’ </w:t>
      </w:r>
      <w:r w:rsidR="00484718">
        <w:t>(2014)</w:t>
      </w:r>
      <w:r w:rsidRPr="00805854">
        <w:t xml:space="preserve"> 37 </w:t>
      </w:r>
      <w:r w:rsidRPr="00484718">
        <w:rPr>
          <w:i/>
        </w:rPr>
        <w:t>Columbia Journal of Law &amp; the Arts</w:t>
      </w:r>
      <w:r w:rsidRPr="00805854">
        <w:t xml:space="preserve"> 147-209, the most extensive evaluation of global graduated response</w:t>
      </w:r>
      <w:r w:rsidR="00ED3F6D">
        <w:t>s</w:t>
      </w:r>
      <w:r w:rsidRPr="00805854">
        <w:t xml:space="preserve"> that has been carried out anywhere in the world to date. That study examines each graduated response</w:t>
      </w:r>
      <w:r w:rsidR="00484718">
        <w:t xml:space="preserve"> scheme</w:t>
      </w:r>
      <w:r w:rsidRPr="00805854">
        <w:t xml:space="preserve"> operating around the world as of late 2013 and evaluates the evidence about the extent to which </w:t>
      </w:r>
      <w:r w:rsidR="00ED3F6D">
        <w:t xml:space="preserve">they </w:t>
      </w:r>
      <w:r w:rsidRPr="00805854">
        <w:t>each</w:t>
      </w:r>
      <w:r w:rsidR="00ED3F6D">
        <w:t xml:space="preserve"> reduce infringement, increase legitimate markets, and promot</w:t>
      </w:r>
      <w:r w:rsidR="00C80F72">
        <w:t>e</w:t>
      </w:r>
      <w:r w:rsidRPr="00805854">
        <w:t xml:space="preserve"> learning and culture by encouraging the creation and dissemination of a wide variety of creative materials. She is a Senior Lecturer at Monash University Law School, affiliated Faculty </w:t>
      </w:r>
      <w:r w:rsidR="00484718">
        <w:t>member of</w:t>
      </w:r>
      <w:r w:rsidR="00484718" w:rsidRPr="00805854">
        <w:t xml:space="preserve"> </w:t>
      </w:r>
      <w:r w:rsidRPr="00805854">
        <w:t xml:space="preserve">the Berkeley Centre for Law &amp; Technology, and a former Kernochan Visiting International IP Scholar at Columbia Law School. Dr Giblin has been a Board Director of the Australian Digital Alliance since 2012. </w:t>
      </w:r>
    </w:p>
    <w:p w14:paraId="2387A6B7" w14:textId="272BD0CB" w:rsidR="00F55F0B" w:rsidRPr="00805854" w:rsidRDefault="003C4E32" w:rsidP="00D4413D">
      <w:pPr>
        <w:jc w:val="both"/>
      </w:pPr>
      <w:r>
        <w:t>Research assistance was provided by Wen H. Wu.</w:t>
      </w:r>
    </w:p>
    <w:p w14:paraId="55621FA9" w14:textId="17AD72EE" w:rsidR="00F55F0B" w:rsidRDefault="00F55F0B" w:rsidP="00D4413D">
      <w:pPr>
        <w:pStyle w:val="Heading1"/>
        <w:jc w:val="both"/>
      </w:pPr>
      <w:bookmarkStart w:id="21" w:name="_Toc397245908"/>
      <w:r w:rsidRPr="00805854">
        <w:t>Appendix</w:t>
      </w:r>
      <w:r w:rsidR="004B2156">
        <w:t xml:space="preserve"> 1</w:t>
      </w:r>
      <w:bookmarkEnd w:id="21"/>
    </w:p>
    <w:p w14:paraId="6F206921" w14:textId="77777777" w:rsidR="00C9187B" w:rsidRPr="00C9187B" w:rsidRDefault="00C9187B" w:rsidP="00D4413D">
      <w:pPr>
        <w:jc w:val="both"/>
      </w:pPr>
    </w:p>
    <w:p w14:paraId="42CB2EB7" w14:textId="3B2EBE16" w:rsidR="00F55F0B" w:rsidRDefault="0084518F" w:rsidP="00C80F72">
      <w:pPr>
        <w:pStyle w:val="Heading3"/>
      </w:pPr>
      <w:bookmarkStart w:id="22" w:name="_Toc397245909"/>
      <w:r>
        <w:t>List of</w:t>
      </w:r>
      <w:r w:rsidR="00484718">
        <w:t xml:space="preserve"> cases reviewed for the purpose of footnote </w:t>
      </w:r>
      <w:r w:rsidR="00E23C24">
        <w:t>29</w:t>
      </w:r>
      <w:r>
        <w:t xml:space="preserve"> </w:t>
      </w:r>
      <w:r w:rsidR="00484718">
        <w:t>and accompanying text:</w:t>
      </w:r>
      <w:bookmarkEnd w:id="22"/>
    </w:p>
    <w:p w14:paraId="3EFA779A" w14:textId="77777777" w:rsidR="00C80F72" w:rsidRPr="00C80F72" w:rsidRDefault="00C80F72" w:rsidP="00C80F72"/>
    <w:p w14:paraId="3FE79915" w14:textId="77777777" w:rsidR="00484718" w:rsidRPr="00C9187B" w:rsidRDefault="00484718" w:rsidP="00D4413D">
      <w:pPr>
        <w:pStyle w:val="ListParagraph"/>
        <w:numPr>
          <w:ilvl w:val="0"/>
          <w:numId w:val="26"/>
        </w:numPr>
        <w:ind w:left="567" w:hanging="567"/>
        <w:jc w:val="both"/>
        <w:rPr>
          <w:sz w:val="20"/>
          <w:szCs w:val="20"/>
        </w:rPr>
      </w:pPr>
      <w:r w:rsidRPr="00C9187B">
        <w:rPr>
          <w:i/>
          <w:sz w:val="20"/>
          <w:szCs w:val="20"/>
        </w:rPr>
        <w:t>RCA Corporation v John Fairfax &amp; Sons Ltd</w:t>
      </w:r>
      <w:r w:rsidRPr="00C9187B">
        <w:rPr>
          <w:sz w:val="20"/>
          <w:szCs w:val="20"/>
        </w:rPr>
        <w:t xml:space="preserve"> [1981] 1 NSWLR 251</w:t>
      </w:r>
    </w:p>
    <w:p w14:paraId="32E8A1E2" w14:textId="77777777" w:rsidR="00484718" w:rsidRPr="00C9187B" w:rsidRDefault="00484718" w:rsidP="00D4413D">
      <w:pPr>
        <w:pStyle w:val="ListParagraph"/>
        <w:numPr>
          <w:ilvl w:val="0"/>
          <w:numId w:val="26"/>
        </w:numPr>
        <w:ind w:left="567" w:hanging="567"/>
        <w:jc w:val="both"/>
        <w:rPr>
          <w:sz w:val="20"/>
          <w:szCs w:val="20"/>
        </w:rPr>
      </w:pPr>
      <w:r w:rsidRPr="00C9187B">
        <w:rPr>
          <w:i/>
          <w:sz w:val="20"/>
          <w:szCs w:val="20"/>
        </w:rPr>
        <w:t>Copyright Agency Ltd v Haines</w:t>
      </w:r>
      <w:r w:rsidRPr="00C9187B">
        <w:rPr>
          <w:sz w:val="20"/>
          <w:szCs w:val="20"/>
        </w:rPr>
        <w:t xml:space="preserve"> [1982] 1 NSWLR 182</w:t>
      </w:r>
    </w:p>
    <w:p w14:paraId="21971A1E" w14:textId="104ADFAA" w:rsidR="00484718" w:rsidRPr="00C9187B" w:rsidRDefault="00484718" w:rsidP="00D4413D">
      <w:pPr>
        <w:pStyle w:val="ListParagraph"/>
        <w:numPr>
          <w:ilvl w:val="0"/>
          <w:numId w:val="26"/>
        </w:numPr>
        <w:ind w:left="567" w:hanging="567"/>
        <w:jc w:val="both"/>
        <w:rPr>
          <w:sz w:val="20"/>
          <w:szCs w:val="20"/>
        </w:rPr>
      </w:pPr>
      <w:r w:rsidRPr="00C9187B">
        <w:rPr>
          <w:i/>
          <w:sz w:val="20"/>
          <w:szCs w:val="20"/>
        </w:rPr>
        <w:t>WEA International</w:t>
      </w:r>
      <w:r w:rsidR="00AA0AB5" w:rsidRPr="00C9187B">
        <w:rPr>
          <w:i/>
          <w:sz w:val="20"/>
          <w:szCs w:val="20"/>
        </w:rPr>
        <w:t xml:space="preserve"> Inc</w:t>
      </w:r>
      <w:r w:rsidRPr="00C9187B">
        <w:rPr>
          <w:i/>
          <w:sz w:val="20"/>
          <w:szCs w:val="20"/>
        </w:rPr>
        <w:t xml:space="preserve"> v Hanimex Corporation</w:t>
      </w:r>
      <w:r w:rsidR="00AA0AB5" w:rsidRPr="00C9187B">
        <w:rPr>
          <w:i/>
          <w:sz w:val="20"/>
          <w:szCs w:val="20"/>
        </w:rPr>
        <w:t xml:space="preserve"> Ltd</w:t>
      </w:r>
      <w:r w:rsidRPr="00C9187B">
        <w:rPr>
          <w:sz w:val="20"/>
          <w:szCs w:val="20"/>
        </w:rPr>
        <w:t xml:space="preserve"> (1987) 17 FCR 274</w:t>
      </w:r>
    </w:p>
    <w:p w14:paraId="3CD1C186" w14:textId="6A0A9375" w:rsidR="00484718" w:rsidRPr="00C9187B" w:rsidRDefault="00484718" w:rsidP="00D4413D">
      <w:pPr>
        <w:pStyle w:val="ListParagraph"/>
        <w:numPr>
          <w:ilvl w:val="0"/>
          <w:numId w:val="26"/>
        </w:numPr>
        <w:ind w:left="567" w:hanging="567"/>
        <w:jc w:val="both"/>
        <w:rPr>
          <w:sz w:val="20"/>
          <w:szCs w:val="20"/>
        </w:rPr>
      </w:pPr>
      <w:r w:rsidRPr="00C9187B">
        <w:rPr>
          <w:i/>
          <w:sz w:val="20"/>
          <w:szCs w:val="20"/>
        </w:rPr>
        <w:t>Australasian Performing Right Association Ltd v Jain</w:t>
      </w:r>
      <w:r w:rsidRPr="00C9187B">
        <w:rPr>
          <w:sz w:val="20"/>
          <w:szCs w:val="20"/>
        </w:rPr>
        <w:t xml:space="preserve"> (1990) 26 FCR 53</w:t>
      </w:r>
    </w:p>
    <w:p w14:paraId="55F9F63D" w14:textId="23733B53" w:rsidR="00484718" w:rsidRPr="00C9187B" w:rsidRDefault="00484718" w:rsidP="00D4413D">
      <w:pPr>
        <w:pStyle w:val="ListParagraph"/>
        <w:numPr>
          <w:ilvl w:val="0"/>
          <w:numId w:val="26"/>
        </w:numPr>
        <w:ind w:left="567" w:hanging="567"/>
        <w:jc w:val="both"/>
        <w:rPr>
          <w:sz w:val="20"/>
          <w:szCs w:val="20"/>
        </w:rPr>
      </w:pPr>
      <w:r w:rsidRPr="00C9187B">
        <w:rPr>
          <w:i/>
          <w:sz w:val="20"/>
          <w:szCs w:val="20"/>
        </w:rPr>
        <w:t>Nationwide News</w:t>
      </w:r>
      <w:r w:rsidR="00AA0AB5" w:rsidRPr="00C9187B">
        <w:rPr>
          <w:i/>
          <w:sz w:val="20"/>
          <w:szCs w:val="20"/>
        </w:rPr>
        <w:t xml:space="preserve"> Pty Ltd</w:t>
      </w:r>
      <w:r w:rsidRPr="00C9187B">
        <w:rPr>
          <w:i/>
          <w:sz w:val="20"/>
          <w:szCs w:val="20"/>
        </w:rPr>
        <w:t xml:space="preserve"> v Copyright Agency Ltd</w:t>
      </w:r>
      <w:r w:rsidRPr="00C9187B">
        <w:rPr>
          <w:sz w:val="20"/>
          <w:szCs w:val="20"/>
        </w:rPr>
        <w:t xml:space="preserve"> (1996) 65 FCR 399</w:t>
      </w:r>
    </w:p>
    <w:p w14:paraId="716863B7" w14:textId="77777777" w:rsidR="00484718" w:rsidRPr="00C9187B" w:rsidRDefault="00484718" w:rsidP="00D4413D">
      <w:pPr>
        <w:pStyle w:val="ListParagraph"/>
        <w:numPr>
          <w:ilvl w:val="0"/>
          <w:numId w:val="26"/>
        </w:numPr>
        <w:ind w:left="567" w:hanging="567"/>
        <w:jc w:val="both"/>
        <w:rPr>
          <w:sz w:val="20"/>
          <w:szCs w:val="20"/>
        </w:rPr>
      </w:pPr>
      <w:r w:rsidRPr="00C9187B">
        <w:rPr>
          <w:i/>
          <w:sz w:val="20"/>
          <w:szCs w:val="20"/>
        </w:rPr>
        <w:t>Fasold v Roberts</w:t>
      </w:r>
      <w:r w:rsidRPr="00C9187B">
        <w:rPr>
          <w:sz w:val="20"/>
          <w:szCs w:val="20"/>
        </w:rPr>
        <w:t xml:space="preserve"> (1997) 70 FCR 489</w:t>
      </w:r>
    </w:p>
    <w:p w14:paraId="4CC6505A" w14:textId="1F5AEFCE" w:rsidR="00484718" w:rsidRPr="00C9187B" w:rsidRDefault="00484718" w:rsidP="00D4413D">
      <w:pPr>
        <w:pStyle w:val="ListParagraph"/>
        <w:numPr>
          <w:ilvl w:val="0"/>
          <w:numId w:val="26"/>
        </w:numPr>
        <w:ind w:left="567" w:hanging="567"/>
        <w:jc w:val="both"/>
        <w:rPr>
          <w:sz w:val="20"/>
          <w:szCs w:val="20"/>
        </w:rPr>
      </w:pPr>
      <w:r w:rsidRPr="00C9187B">
        <w:rPr>
          <w:i/>
          <w:sz w:val="20"/>
          <w:szCs w:val="20"/>
        </w:rPr>
        <w:t xml:space="preserve">Henley Arch </w:t>
      </w:r>
      <w:r w:rsidR="00AA0AB5" w:rsidRPr="00C9187B">
        <w:rPr>
          <w:i/>
          <w:sz w:val="20"/>
          <w:szCs w:val="20"/>
        </w:rPr>
        <w:t xml:space="preserve">Pty Ltd </w:t>
      </w:r>
      <w:r w:rsidRPr="00C9187B">
        <w:rPr>
          <w:i/>
          <w:sz w:val="20"/>
          <w:szCs w:val="20"/>
        </w:rPr>
        <w:t>v Clarendon Homes</w:t>
      </w:r>
      <w:r w:rsidR="00AA0AB5" w:rsidRPr="00C9187B">
        <w:rPr>
          <w:i/>
          <w:sz w:val="20"/>
          <w:szCs w:val="20"/>
        </w:rPr>
        <w:t xml:space="preserve"> (Aust) Pty Ltd</w:t>
      </w:r>
      <w:r w:rsidRPr="00C9187B">
        <w:rPr>
          <w:sz w:val="20"/>
          <w:szCs w:val="20"/>
        </w:rPr>
        <w:t xml:space="preserve"> (1998) 41 IPR 443</w:t>
      </w:r>
    </w:p>
    <w:p w14:paraId="6F0563AF" w14:textId="7EAE6AC7" w:rsidR="00484718" w:rsidRPr="00C9187B" w:rsidRDefault="00484718" w:rsidP="00D4413D">
      <w:pPr>
        <w:pStyle w:val="ListParagraph"/>
        <w:numPr>
          <w:ilvl w:val="0"/>
          <w:numId w:val="26"/>
        </w:numPr>
        <w:ind w:left="567" w:hanging="567"/>
        <w:jc w:val="both"/>
        <w:rPr>
          <w:sz w:val="20"/>
          <w:szCs w:val="20"/>
        </w:rPr>
      </w:pPr>
      <w:r w:rsidRPr="00C9187B">
        <w:rPr>
          <w:i/>
          <w:sz w:val="20"/>
          <w:szCs w:val="20"/>
        </w:rPr>
        <w:t xml:space="preserve">Tolmark Homes </w:t>
      </w:r>
      <w:r w:rsidR="00AA0AB5" w:rsidRPr="00C9187B">
        <w:rPr>
          <w:i/>
          <w:sz w:val="20"/>
          <w:szCs w:val="20"/>
        </w:rPr>
        <w:t xml:space="preserve">Pty Ltd </w:t>
      </w:r>
      <w:r w:rsidRPr="00C9187B">
        <w:rPr>
          <w:i/>
          <w:sz w:val="20"/>
          <w:szCs w:val="20"/>
        </w:rPr>
        <w:t>v Paul</w:t>
      </w:r>
      <w:r w:rsidRPr="00C9187B">
        <w:rPr>
          <w:sz w:val="20"/>
          <w:szCs w:val="20"/>
        </w:rPr>
        <w:t xml:space="preserve"> (1999) 46 IPR 321</w:t>
      </w:r>
    </w:p>
    <w:p w14:paraId="3CCE2C5B" w14:textId="409A485E" w:rsidR="00484718" w:rsidRPr="00C9187B" w:rsidRDefault="00484718" w:rsidP="00D4413D">
      <w:pPr>
        <w:pStyle w:val="ListParagraph"/>
        <w:numPr>
          <w:ilvl w:val="0"/>
          <w:numId w:val="26"/>
        </w:numPr>
        <w:ind w:left="567" w:hanging="567"/>
        <w:jc w:val="both"/>
        <w:rPr>
          <w:sz w:val="20"/>
          <w:szCs w:val="20"/>
        </w:rPr>
      </w:pPr>
      <w:r w:rsidRPr="00C9187B">
        <w:rPr>
          <w:i/>
          <w:sz w:val="20"/>
          <w:szCs w:val="20"/>
        </w:rPr>
        <w:t>Zomba Production Music</w:t>
      </w:r>
      <w:r w:rsidR="00AA0AB5" w:rsidRPr="00C9187B">
        <w:rPr>
          <w:i/>
          <w:sz w:val="20"/>
          <w:szCs w:val="20"/>
        </w:rPr>
        <w:t xml:space="preserve"> (Australia) Pty Ltd</w:t>
      </w:r>
      <w:r w:rsidRPr="00C9187B">
        <w:rPr>
          <w:i/>
          <w:sz w:val="20"/>
          <w:szCs w:val="20"/>
        </w:rPr>
        <w:t xml:space="preserve"> v Roadhouse Productions</w:t>
      </w:r>
      <w:r w:rsidR="00AA0AB5" w:rsidRPr="00C9187B">
        <w:rPr>
          <w:i/>
          <w:sz w:val="20"/>
          <w:szCs w:val="20"/>
        </w:rPr>
        <w:t xml:space="preserve"> Pty Ltd (in liq)</w:t>
      </w:r>
      <w:r w:rsidRPr="00C9187B">
        <w:rPr>
          <w:sz w:val="20"/>
          <w:szCs w:val="20"/>
        </w:rPr>
        <w:t xml:space="preserve"> (2001) 190 ALR 288</w:t>
      </w:r>
    </w:p>
    <w:p w14:paraId="4C887B98" w14:textId="1D7A7F7B" w:rsidR="00484718" w:rsidRPr="00C9187B" w:rsidRDefault="00484718" w:rsidP="00D4413D">
      <w:pPr>
        <w:pStyle w:val="ListParagraph"/>
        <w:numPr>
          <w:ilvl w:val="0"/>
          <w:numId w:val="26"/>
        </w:numPr>
        <w:ind w:left="567" w:hanging="567"/>
        <w:jc w:val="both"/>
        <w:rPr>
          <w:sz w:val="20"/>
          <w:szCs w:val="20"/>
        </w:rPr>
      </w:pPr>
      <w:r w:rsidRPr="00C9187B">
        <w:rPr>
          <w:i/>
          <w:sz w:val="20"/>
          <w:szCs w:val="20"/>
        </w:rPr>
        <w:t>A</w:t>
      </w:r>
      <w:r w:rsidR="00AA0AB5" w:rsidRPr="00C9187B">
        <w:rPr>
          <w:i/>
          <w:sz w:val="20"/>
          <w:szCs w:val="20"/>
        </w:rPr>
        <w:t>ustralasian Performing Right Association Ltd</w:t>
      </w:r>
      <w:r w:rsidRPr="00C9187B">
        <w:rPr>
          <w:i/>
          <w:sz w:val="20"/>
          <w:szCs w:val="20"/>
        </w:rPr>
        <w:t xml:space="preserve"> v Metro on George </w:t>
      </w:r>
      <w:r w:rsidR="00AA0AB5" w:rsidRPr="00C9187B">
        <w:rPr>
          <w:i/>
          <w:sz w:val="20"/>
          <w:szCs w:val="20"/>
        </w:rPr>
        <w:t>Pty Ltd</w:t>
      </w:r>
      <w:r w:rsidR="00AA0AB5" w:rsidRPr="00C9187B">
        <w:rPr>
          <w:sz w:val="20"/>
          <w:szCs w:val="20"/>
        </w:rPr>
        <w:t xml:space="preserve"> </w:t>
      </w:r>
      <w:r w:rsidRPr="00C9187B">
        <w:rPr>
          <w:sz w:val="20"/>
          <w:szCs w:val="20"/>
        </w:rPr>
        <w:t>(2004) 210 ALR 244</w:t>
      </w:r>
    </w:p>
    <w:p w14:paraId="2AFA5C93" w14:textId="6A67A72D" w:rsidR="00484718" w:rsidRPr="00C9187B" w:rsidRDefault="00484718" w:rsidP="00D4413D">
      <w:pPr>
        <w:pStyle w:val="ListParagraph"/>
        <w:numPr>
          <w:ilvl w:val="0"/>
          <w:numId w:val="26"/>
        </w:numPr>
        <w:ind w:left="567" w:hanging="567"/>
        <w:jc w:val="both"/>
        <w:rPr>
          <w:sz w:val="20"/>
          <w:szCs w:val="20"/>
        </w:rPr>
      </w:pPr>
      <w:r w:rsidRPr="00C9187B">
        <w:rPr>
          <w:i/>
          <w:sz w:val="20"/>
          <w:szCs w:val="20"/>
        </w:rPr>
        <w:t xml:space="preserve">Microsoft </w:t>
      </w:r>
      <w:r w:rsidR="00AA0AB5" w:rsidRPr="00C9187B">
        <w:rPr>
          <w:i/>
          <w:sz w:val="20"/>
          <w:szCs w:val="20"/>
        </w:rPr>
        <w:t xml:space="preserve">Corporation </w:t>
      </w:r>
      <w:r w:rsidRPr="00C9187B">
        <w:rPr>
          <w:i/>
          <w:sz w:val="20"/>
          <w:szCs w:val="20"/>
        </w:rPr>
        <w:t xml:space="preserve">v Ezy Loans </w:t>
      </w:r>
      <w:r w:rsidR="00AA0AB5" w:rsidRPr="00C9187B">
        <w:rPr>
          <w:i/>
          <w:sz w:val="20"/>
          <w:szCs w:val="20"/>
        </w:rPr>
        <w:t>Pty Ltd</w:t>
      </w:r>
      <w:r w:rsidR="00AA0AB5" w:rsidRPr="00C9187B">
        <w:rPr>
          <w:sz w:val="20"/>
          <w:szCs w:val="20"/>
        </w:rPr>
        <w:t xml:space="preserve"> </w:t>
      </w:r>
      <w:r w:rsidRPr="00C9187B">
        <w:rPr>
          <w:sz w:val="20"/>
          <w:szCs w:val="20"/>
        </w:rPr>
        <w:t>(2004) 63 IPR 54</w:t>
      </w:r>
    </w:p>
    <w:p w14:paraId="61BE2B86" w14:textId="25855CD0" w:rsidR="00484718" w:rsidRPr="00C9187B" w:rsidRDefault="00484718" w:rsidP="00D4413D">
      <w:pPr>
        <w:pStyle w:val="ListParagraph"/>
        <w:numPr>
          <w:ilvl w:val="0"/>
          <w:numId w:val="26"/>
        </w:numPr>
        <w:ind w:left="567" w:hanging="567"/>
        <w:jc w:val="both"/>
        <w:rPr>
          <w:sz w:val="20"/>
          <w:szCs w:val="20"/>
        </w:rPr>
      </w:pPr>
      <w:r w:rsidRPr="00C9187B">
        <w:rPr>
          <w:i/>
          <w:sz w:val="20"/>
          <w:szCs w:val="20"/>
        </w:rPr>
        <w:t>Nominet UK v Diverse Internet</w:t>
      </w:r>
      <w:r w:rsidR="00AA0AB5" w:rsidRPr="00C9187B">
        <w:rPr>
          <w:i/>
          <w:sz w:val="20"/>
          <w:szCs w:val="20"/>
        </w:rPr>
        <w:t xml:space="preserve"> Pty Ltd</w:t>
      </w:r>
      <w:r w:rsidRPr="00C9187B">
        <w:rPr>
          <w:sz w:val="20"/>
          <w:szCs w:val="20"/>
        </w:rPr>
        <w:t xml:space="preserve"> (2004) 63 IPR 543</w:t>
      </w:r>
    </w:p>
    <w:p w14:paraId="57988F64" w14:textId="10F2342C" w:rsidR="00484718" w:rsidRPr="00C9187B" w:rsidRDefault="00484718" w:rsidP="00D4413D">
      <w:pPr>
        <w:pStyle w:val="ListParagraph"/>
        <w:numPr>
          <w:ilvl w:val="0"/>
          <w:numId w:val="26"/>
        </w:numPr>
        <w:ind w:left="567" w:hanging="567"/>
        <w:jc w:val="both"/>
        <w:rPr>
          <w:sz w:val="20"/>
          <w:szCs w:val="20"/>
        </w:rPr>
      </w:pPr>
      <w:r w:rsidRPr="00C9187B">
        <w:rPr>
          <w:i/>
          <w:sz w:val="20"/>
          <w:szCs w:val="20"/>
        </w:rPr>
        <w:t>Universal Music</w:t>
      </w:r>
      <w:r w:rsidR="00AA0AB5" w:rsidRPr="00C9187B">
        <w:rPr>
          <w:i/>
          <w:sz w:val="20"/>
          <w:szCs w:val="20"/>
        </w:rPr>
        <w:t xml:space="preserve"> Australia Pty Ltd</w:t>
      </w:r>
      <w:r w:rsidRPr="00C9187B">
        <w:rPr>
          <w:i/>
          <w:sz w:val="20"/>
          <w:szCs w:val="20"/>
        </w:rPr>
        <w:t xml:space="preserve"> v Sharman</w:t>
      </w:r>
      <w:r w:rsidR="00AA0AB5" w:rsidRPr="00C9187B">
        <w:rPr>
          <w:i/>
          <w:sz w:val="20"/>
          <w:szCs w:val="20"/>
        </w:rPr>
        <w:t xml:space="preserve"> License Holdings Ltd</w:t>
      </w:r>
      <w:r w:rsidRPr="00C9187B">
        <w:rPr>
          <w:sz w:val="20"/>
          <w:szCs w:val="20"/>
        </w:rPr>
        <w:t xml:space="preserve"> (2005) 220 ALR 1</w:t>
      </w:r>
    </w:p>
    <w:p w14:paraId="12C1D5C2" w14:textId="0A4FCA73" w:rsidR="00484718" w:rsidRPr="00C9187B" w:rsidRDefault="00484718" w:rsidP="00D4413D">
      <w:pPr>
        <w:pStyle w:val="ListParagraph"/>
        <w:numPr>
          <w:ilvl w:val="0"/>
          <w:numId w:val="26"/>
        </w:numPr>
        <w:ind w:left="567" w:hanging="567"/>
        <w:jc w:val="both"/>
        <w:rPr>
          <w:sz w:val="20"/>
          <w:szCs w:val="20"/>
        </w:rPr>
      </w:pPr>
      <w:r w:rsidRPr="00C9187B">
        <w:rPr>
          <w:i/>
          <w:sz w:val="20"/>
          <w:szCs w:val="20"/>
        </w:rPr>
        <w:t>Cooper v Universal Music</w:t>
      </w:r>
      <w:r w:rsidR="00AA0AB5" w:rsidRPr="00C9187B">
        <w:rPr>
          <w:i/>
          <w:sz w:val="20"/>
          <w:szCs w:val="20"/>
        </w:rPr>
        <w:t xml:space="preserve"> Australia Pty Ltd</w:t>
      </w:r>
      <w:r w:rsidRPr="00C9187B">
        <w:rPr>
          <w:sz w:val="20"/>
          <w:szCs w:val="20"/>
        </w:rPr>
        <w:t xml:space="preserve"> (2006) 156 FCR 380</w:t>
      </w:r>
    </w:p>
    <w:p w14:paraId="31323291" w14:textId="39083115" w:rsidR="00484718" w:rsidRPr="00C9187B" w:rsidRDefault="00484718" w:rsidP="00D4413D">
      <w:pPr>
        <w:pStyle w:val="ListParagraph"/>
        <w:numPr>
          <w:ilvl w:val="0"/>
          <w:numId w:val="26"/>
        </w:numPr>
        <w:ind w:left="567" w:hanging="567"/>
        <w:jc w:val="both"/>
        <w:rPr>
          <w:sz w:val="20"/>
          <w:szCs w:val="20"/>
        </w:rPr>
      </w:pPr>
      <w:r w:rsidRPr="00C9187B">
        <w:rPr>
          <w:i/>
          <w:sz w:val="20"/>
          <w:szCs w:val="20"/>
        </w:rPr>
        <w:t xml:space="preserve">Barrett Property Group </w:t>
      </w:r>
      <w:r w:rsidR="00AA0AB5" w:rsidRPr="00C9187B">
        <w:rPr>
          <w:i/>
          <w:sz w:val="20"/>
          <w:szCs w:val="20"/>
        </w:rPr>
        <w:t xml:space="preserve">Pty Ltd </w:t>
      </w:r>
      <w:r w:rsidRPr="00C9187B">
        <w:rPr>
          <w:i/>
          <w:sz w:val="20"/>
          <w:szCs w:val="20"/>
        </w:rPr>
        <w:t xml:space="preserve">v Metricon Homes </w:t>
      </w:r>
      <w:r w:rsidR="00AA0AB5" w:rsidRPr="00C9187B">
        <w:rPr>
          <w:i/>
          <w:sz w:val="20"/>
          <w:szCs w:val="20"/>
        </w:rPr>
        <w:t>Pty Ltd</w:t>
      </w:r>
      <w:r w:rsidR="00AA0AB5" w:rsidRPr="00C9187B">
        <w:rPr>
          <w:sz w:val="20"/>
          <w:szCs w:val="20"/>
        </w:rPr>
        <w:t xml:space="preserve"> </w:t>
      </w:r>
      <w:r w:rsidRPr="00C9187B">
        <w:rPr>
          <w:sz w:val="20"/>
          <w:szCs w:val="20"/>
        </w:rPr>
        <w:t>(2007) 74 IPR 52</w:t>
      </w:r>
    </w:p>
    <w:p w14:paraId="6DCABC44" w14:textId="2EC22AA3" w:rsidR="00484718" w:rsidRPr="00C9187B" w:rsidRDefault="00484718" w:rsidP="00D4413D">
      <w:pPr>
        <w:pStyle w:val="ListParagraph"/>
        <w:numPr>
          <w:ilvl w:val="0"/>
          <w:numId w:val="26"/>
        </w:numPr>
        <w:ind w:left="567" w:hanging="567"/>
        <w:jc w:val="both"/>
        <w:rPr>
          <w:sz w:val="20"/>
          <w:szCs w:val="20"/>
        </w:rPr>
      </w:pPr>
      <w:r w:rsidRPr="00C9187B">
        <w:rPr>
          <w:i/>
          <w:sz w:val="20"/>
          <w:szCs w:val="20"/>
        </w:rPr>
        <w:t xml:space="preserve">TVBO </w:t>
      </w:r>
      <w:r w:rsidR="00AA0AB5" w:rsidRPr="00C9187B">
        <w:rPr>
          <w:i/>
          <w:sz w:val="20"/>
          <w:szCs w:val="20"/>
        </w:rPr>
        <w:t xml:space="preserve">Production Ltd </w:t>
      </w:r>
      <w:r w:rsidRPr="00C9187B">
        <w:rPr>
          <w:i/>
          <w:sz w:val="20"/>
          <w:szCs w:val="20"/>
        </w:rPr>
        <w:t xml:space="preserve">v Australia Sky Net </w:t>
      </w:r>
      <w:r w:rsidR="00AA0AB5" w:rsidRPr="00C9187B">
        <w:rPr>
          <w:i/>
          <w:sz w:val="20"/>
          <w:szCs w:val="20"/>
        </w:rPr>
        <w:t>Pty Ltd</w:t>
      </w:r>
      <w:r w:rsidR="00AA0AB5" w:rsidRPr="00C9187B">
        <w:rPr>
          <w:sz w:val="20"/>
          <w:szCs w:val="20"/>
        </w:rPr>
        <w:t xml:space="preserve"> </w:t>
      </w:r>
      <w:r w:rsidRPr="00C9187B">
        <w:rPr>
          <w:sz w:val="20"/>
          <w:szCs w:val="20"/>
        </w:rPr>
        <w:t>(2009) 82 IPR 502</w:t>
      </w:r>
    </w:p>
    <w:p w14:paraId="15A56382" w14:textId="69EA8442" w:rsidR="00484718" w:rsidRPr="00C9187B" w:rsidRDefault="00484718" w:rsidP="00D4413D">
      <w:pPr>
        <w:pStyle w:val="ListParagraph"/>
        <w:numPr>
          <w:ilvl w:val="0"/>
          <w:numId w:val="26"/>
        </w:numPr>
        <w:ind w:left="567" w:hanging="567"/>
        <w:jc w:val="both"/>
        <w:rPr>
          <w:sz w:val="20"/>
          <w:szCs w:val="20"/>
        </w:rPr>
      </w:pPr>
      <w:r w:rsidRPr="00C9187B">
        <w:rPr>
          <w:i/>
          <w:sz w:val="20"/>
          <w:szCs w:val="20"/>
        </w:rPr>
        <w:t>Deckers Outdoor Corporation</w:t>
      </w:r>
      <w:r w:rsidR="00AA0AB5" w:rsidRPr="00C9187B">
        <w:rPr>
          <w:i/>
          <w:sz w:val="20"/>
          <w:szCs w:val="20"/>
        </w:rPr>
        <w:t xml:space="preserve"> Inc</w:t>
      </w:r>
      <w:r w:rsidRPr="00C9187B">
        <w:rPr>
          <w:i/>
          <w:sz w:val="20"/>
          <w:szCs w:val="20"/>
        </w:rPr>
        <w:t xml:space="preserve"> v Farley (No 5)</w:t>
      </w:r>
      <w:r w:rsidRPr="00C9187B">
        <w:rPr>
          <w:sz w:val="20"/>
          <w:szCs w:val="20"/>
        </w:rPr>
        <w:t xml:space="preserve"> (2009) 262 ALR 53</w:t>
      </w:r>
    </w:p>
    <w:p w14:paraId="04E72DCC" w14:textId="1C0105DE" w:rsidR="00484718" w:rsidRPr="00C9187B" w:rsidRDefault="00484718" w:rsidP="00D4413D">
      <w:pPr>
        <w:pStyle w:val="ListParagraph"/>
        <w:numPr>
          <w:ilvl w:val="0"/>
          <w:numId w:val="26"/>
        </w:numPr>
        <w:ind w:left="567" w:hanging="567"/>
        <w:jc w:val="both"/>
        <w:rPr>
          <w:sz w:val="20"/>
          <w:szCs w:val="20"/>
        </w:rPr>
      </w:pPr>
      <w:r w:rsidRPr="00C9187B">
        <w:rPr>
          <w:i/>
          <w:sz w:val="20"/>
          <w:szCs w:val="20"/>
        </w:rPr>
        <w:t xml:space="preserve">EMI Songs </w:t>
      </w:r>
      <w:r w:rsidR="00AA0AB5" w:rsidRPr="00C9187B">
        <w:rPr>
          <w:i/>
          <w:sz w:val="20"/>
          <w:szCs w:val="20"/>
        </w:rPr>
        <w:t xml:space="preserve">Australia Pty Ltd </w:t>
      </w:r>
      <w:r w:rsidRPr="00C9187B">
        <w:rPr>
          <w:i/>
          <w:sz w:val="20"/>
          <w:szCs w:val="20"/>
        </w:rPr>
        <w:t>v Larrikin Music</w:t>
      </w:r>
      <w:r w:rsidR="00AA0AB5" w:rsidRPr="00C9187B">
        <w:rPr>
          <w:i/>
          <w:sz w:val="20"/>
          <w:szCs w:val="20"/>
        </w:rPr>
        <w:t xml:space="preserve"> Publishing Pty Ltd</w:t>
      </w:r>
      <w:r w:rsidRPr="00C9187B">
        <w:rPr>
          <w:sz w:val="20"/>
          <w:szCs w:val="20"/>
        </w:rPr>
        <w:t xml:space="preserve"> (2011) 191 FCR 444</w:t>
      </w:r>
    </w:p>
    <w:p w14:paraId="33D4AE19" w14:textId="467CFD83" w:rsidR="00484718" w:rsidRPr="00C9187B" w:rsidRDefault="00484718" w:rsidP="00D4413D">
      <w:pPr>
        <w:pStyle w:val="ListParagraph"/>
        <w:numPr>
          <w:ilvl w:val="0"/>
          <w:numId w:val="26"/>
        </w:numPr>
        <w:ind w:left="567" w:hanging="567"/>
        <w:jc w:val="both"/>
        <w:rPr>
          <w:sz w:val="20"/>
          <w:szCs w:val="20"/>
        </w:rPr>
      </w:pPr>
      <w:r w:rsidRPr="00C9187B">
        <w:rPr>
          <w:i/>
          <w:sz w:val="20"/>
          <w:szCs w:val="20"/>
        </w:rPr>
        <w:t>Roadshow Films</w:t>
      </w:r>
      <w:r w:rsidR="00AA0AB5" w:rsidRPr="00C9187B">
        <w:rPr>
          <w:i/>
          <w:sz w:val="20"/>
          <w:szCs w:val="20"/>
        </w:rPr>
        <w:t xml:space="preserve"> Pty Ltd</w:t>
      </w:r>
      <w:r w:rsidRPr="00C9187B">
        <w:rPr>
          <w:i/>
          <w:sz w:val="20"/>
          <w:szCs w:val="20"/>
        </w:rPr>
        <w:t xml:space="preserve"> v iiNet</w:t>
      </w:r>
      <w:r w:rsidR="00AA0AB5" w:rsidRPr="00C9187B">
        <w:rPr>
          <w:i/>
          <w:sz w:val="20"/>
          <w:szCs w:val="20"/>
        </w:rPr>
        <w:t xml:space="preserve"> Ltd (No 2)</w:t>
      </w:r>
      <w:r w:rsidRPr="00C9187B">
        <w:rPr>
          <w:sz w:val="20"/>
          <w:szCs w:val="20"/>
        </w:rPr>
        <w:t xml:space="preserve"> (2012) 248 CLR 42</w:t>
      </w:r>
    </w:p>
    <w:p w14:paraId="0127B766" w14:textId="1C2F7212" w:rsidR="00484718" w:rsidRPr="00C9187B" w:rsidRDefault="00484718" w:rsidP="00D4413D">
      <w:pPr>
        <w:pStyle w:val="ListParagraph"/>
        <w:numPr>
          <w:ilvl w:val="0"/>
          <w:numId w:val="26"/>
        </w:numPr>
        <w:ind w:left="567" w:hanging="567"/>
        <w:jc w:val="both"/>
        <w:rPr>
          <w:sz w:val="20"/>
          <w:szCs w:val="20"/>
        </w:rPr>
      </w:pPr>
      <w:r w:rsidRPr="00C9187B">
        <w:rPr>
          <w:i/>
          <w:sz w:val="20"/>
          <w:szCs w:val="20"/>
        </w:rPr>
        <w:t xml:space="preserve">Tamawood </w:t>
      </w:r>
      <w:r w:rsidR="00AA0AB5" w:rsidRPr="00C9187B">
        <w:rPr>
          <w:i/>
          <w:sz w:val="20"/>
          <w:szCs w:val="20"/>
        </w:rPr>
        <w:t xml:space="preserve">Ltd </w:t>
      </w:r>
      <w:r w:rsidRPr="00C9187B">
        <w:rPr>
          <w:i/>
          <w:sz w:val="20"/>
          <w:szCs w:val="20"/>
        </w:rPr>
        <w:t>v Habitare Developments</w:t>
      </w:r>
      <w:r w:rsidR="00AA0AB5" w:rsidRPr="00C9187B">
        <w:rPr>
          <w:i/>
          <w:sz w:val="20"/>
          <w:szCs w:val="20"/>
        </w:rPr>
        <w:t xml:space="preserve"> Pty Ltd (admins apptd) (recs and mgrs apptd)</w:t>
      </w:r>
      <w:r w:rsidRPr="00C9187B">
        <w:rPr>
          <w:i/>
          <w:sz w:val="20"/>
          <w:szCs w:val="20"/>
        </w:rPr>
        <w:t xml:space="preserve"> (No 3)</w:t>
      </w:r>
      <w:r w:rsidRPr="00C9187B">
        <w:rPr>
          <w:sz w:val="20"/>
          <w:szCs w:val="20"/>
        </w:rPr>
        <w:t xml:space="preserve"> (2013) 101 IPR 225</w:t>
      </w:r>
    </w:p>
    <w:p w14:paraId="6BB36E03" w14:textId="4531C11F" w:rsidR="00484718" w:rsidRPr="00C9187B" w:rsidRDefault="00484718" w:rsidP="00D4413D">
      <w:pPr>
        <w:pStyle w:val="ListParagraph"/>
        <w:numPr>
          <w:ilvl w:val="0"/>
          <w:numId w:val="26"/>
        </w:numPr>
        <w:ind w:left="567" w:hanging="567"/>
        <w:jc w:val="both"/>
        <w:rPr>
          <w:sz w:val="20"/>
          <w:szCs w:val="20"/>
        </w:rPr>
      </w:pPr>
      <w:r w:rsidRPr="00C9187B">
        <w:rPr>
          <w:i/>
          <w:sz w:val="20"/>
          <w:szCs w:val="20"/>
        </w:rPr>
        <w:t xml:space="preserve">Volunteer Eco Students Abroad </w:t>
      </w:r>
      <w:r w:rsidR="00AA0AB5" w:rsidRPr="00C9187B">
        <w:rPr>
          <w:i/>
          <w:sz w:val="20"/>
          <w:szCs w:val="20"/>
        </w:rPr>
        <w:t xml:space="preserve">Pty Ltd </w:t>
      </w:r>
      <w:r w:rsidR="008F69C7" w:rsidRPr="00C9187B">
        <w:rPr>
          <w:i/>
          <w:sz w:val="20"/>
          <w:szCs w:val="20"/>
        </w:rPr>
        <w:t xml:space="preserve">(as trustee for the Volunteer Eco Students Abroad Unit Trust) </w:t>
      </w:r>
      <w:r w:rsidRPr="00C9187B">
        <w:rPr>
          <w:i/>
          <w:sz w:val="20"/>
          <w:szCs w:val="20"/>
        </w:rPr>
        <w:t>v Reach Out Volunteers</w:t>
      </w:r>
      <w:r w:rsidR="008F69C7" w:rsidRPr="00C9187B">
        <w:rPr>
          <w:i/>
          <w:sz w:val="20"/>
          <w:szCs w:val="20"/>
        </w:rPr>
        <w:t xml:space="preserve"> Pty Ltd</w:t>
      </w:r>
      <w:r w:rsidRPr="00C9187B">
        <w:rPr>
          <w:sz w:val="20"/>
          <w:szCs w:val="20"/>
        </w:rPr>
        <w:t xml:space="preserve"> (2013) 102 IPR 161</w:t>
      </w:r>
    </w:p>
    <w:p w14:paraId="1110B483" w14:textId="1466CF30" w:rsidR="00484718" w:rsidRPr="00C9187B" w:rsidRDefault="00484718" w:rsidP="00D4413D">
      <w:pPr>
        <w:pStyle w:val="ListParagraph"/>
        <w:numPr>
          <w:ilvl w:val="0"/>
          <w:numId w:val="26"/>
        </w:numPr>
        <w:ind w:left="567" w:hanging="567"/>
        <w:jc w:val="both"/>
        <w:rPr>
          <w:sz w:val="20"/>
          <w:szCs w:val="20"/>
        </w:rPr>
      </w:pPr>
      <w:r w:rsidRPr="00C9187B">
        <w:rPr>
          <w:i/>
          <w:sz w:val="20"/>
          <w:szCs w:val="20"/>
        </w:rPr>
        <w:t>Seafolly</w:t>
      </w:r>
      <w:r w:rsidR="008F69C7" w:rsidRPr="00C9187B">
        <w:rPr>
          <w:i/>
          <w:sz w:val="20"/>
          <w:szCs w:val="20"/>
        </w:rPr>
        <w:t xml:space="preserve"> Pty Ltd</w:t>
      </w:r>
      <w:r w:rsidRPr="00C9187B">
        <w:rPr>
          <w:i/>
          <w:sz w:val="20"/>
          <w:szCs w:val="20"/>
        </w:rPr>
        <w:t xml:space="preserve"> v Fewstone</w:t>
      </w:r>
      <w:r w:rsidR="008F69C7" w:rsidRPr="00C9187B">
        <w:rPr>
          <w:i/>
          <w:sz w:val="20"/>
          <w:szCs w:val="20"/>
        </w:rPr>
        <w:t xml:space="preserve"> Pty Ltd</w:t>
      </w:r>
      <w:r w:rsidRPr="00C9187B">
        <w:rPr>
          <w:sz w:val="20"/>
          <w:szCs w:val="20"/>
        </w:rPr>
        <w:t xml:space="preserve"> (2014) 106 IPR 85</w:t>
      </w:r>
    </w:p>
    <w:sectPr w:rsidR="00484718" w:rsidRPr="00C9187B" w:rsidSect="00F21027">
      <w:pgSz w:w="11907" w:h="16840" w:code="9"/>
      <w:pgMar w:top="720" w:right="1077" w:bottom="720" w:left="1077" w:header="57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0849E" w14:textId="77777777" w:rsidR="006E03CC" w:rsidRDefault="006E03CC" w:rsidP="008600B6">
      <w:r>
        <w:separator/>
      </w:r>
    </w:p>
  </w:endnote>
  <w:endnote w:type="continuationSeparator" w:id="0">
    <w:p w14:paraId="4FC3296E" w14:textId="77777777" w:rsidR="006E03CC" w:rsidRDefault="006E03CC" w:rsidP="0086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Footer with Page border"/>
    </w:tblPr>
    <w:tblGrid>
      <w:gridCol w:w="4877"/>
      <w:gridCol w:w="4876"/>
    </w:tblGrid>
    <w:tr w:rsidR="00221972" w14:paraId="3A6680BA" w14:textId="77777777">
      <w:tc>
        <w:tcPr>
          <w:tcW w:w="5148" w:type="dxa"/>
          <w:tcMar>
            <w:left w:w="115" w:type="dxa"/>
            <w:right w:w="115" w:type="dxa"/>
          </w:tcMar>
          <w:vAlign w:val="bottom"/>
        </w:tcPr>
        <w:p w14:paraId="3EC22429" w14:textId="77777777" w:rsidR="00221972" w:rsidRDefault="00221972">
          <w:pPr>
            <w:pStyle w:val="NoSpacing"/>
          </w:pPr>
        </w:p>
      </w:tc>
      <w:tc>
        <w:tcPr>
          <w:tcW w:w="5148" w:type="dxa"/>
          <w:tcMar>
            <w:left w:w="115" w:type="dxa"/>
            <w:right w:w="115" w:type="dxa"/>
          </w:tcMar>
          <w:vAlign w:val="bottom"/>
        </w:tcPr>
        <w:p w14:paraId="38F216EE" w14:textId="77777777" w:rsidR="00221972" w:rsidRDefault="00221972">
          <w:pPr>
            <w:pStyle w:val="NoSpacing"/>
            <w:rPr>
              <w:rFonts w:asciiTheme="majorHAnsi" w:hAnsiTheme="majorHAnsi"/>
              <w:sz w:val="20"/>
            </w:rPr>
          </w:pPr>
        </w:p>
      </w:tc>
    </w:tr>
  </w:tbl>
  <w:p w14:paraId="0965385D" w14:textId="77777777" w:rsidR="00221972" w:rsidRDefault="00221972">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50A70" w14:textId="77777777" w:rsidR="006E03CC" w:rsidRDefault="006E03CC" w:rsidP="008600B6">
      <w:r>
        <w:separator/>
      </w:r>
    </w:p>
  </w:footnote>
  <w:footnote w:type="continuationSeparator" w:id="0">
    <w:p w14:paraId="336085B0" w14:textId="77777777" w:rsidR="006E03CC" w:rsidRDefault="006E03CC" w:rsidP="008600B6">
      <w:r>
        <w:continuationSeparator/>
      </w:r>
    </w:p>
  </w:footnote>
  <w:footnote w:id="1">
    <w:p w14:paraId="5BF06E89" w14:textId="5B75E0DA" w:rsidR="00221972" w:rsidRPr="00B821C3" w:rsidRDefault="00221972">
      <w:pPr>
        <w:pStyle w:val="FootnoteText"/>
      </w:pPr>
      <w:r>
        <w:rPr>
          <w:rStyle w:val="FootnoteReference"/>
        </w:rPr>
        <w:footnoteRef/>
      </w:r>
      <w:r>
        <w:t xml:space="preserve"> Giblin, R </w:t>
      </w:r>
      <w:r>
        <w:rPr>
          <w:i/>
        </w:rPr>
        <w:t xml:space="preserve">Authorisation in </w:t>
      </w:r>
      <w:r w:rsidRPr="00D2271D">
        <w:rPr>
          <w:i/>
        </w:rPr>
        <w:t>Context</w:t>
      </w:r>
      <w:r>
        <w:rPr>
          <w:i/>
        </w:rPr>
        <w:t>:</w:t>
      </w:r>
      <w:r w:rsidRPr="00D2271D">
        <w:rPr>
          <w:i/>
        </w:rPr>
        <w:t xml:space="preserve"> a research paper commissioned by the Australian Digital Alliance</w:t>
      </w:r>
      <w:r>
        <w:t xml:space="preserve"> (August 2014)</w:t>
      </w:r>
    </w:p>
  </w:footnote>
  <w:footnote w:id="2">
    <w:p w14:paraId="7951EF2F" w14:textId="06E5CFC3" w:rsidR="00221972" w:rsidRPr="00B821C3" w:rsidRDefault="00221972">
      <w:pPr>
        <w:pStyle w:val="FootnoteText"/>
        <w:rPr>
          <w:lang w:val="en-GB"/>
        </w:rPr>
      </w:pPr>
      <w:r>
        <w:rPr>
          <w:rStyle w:val="FootnoteReference"/>
        </w:rPr>
        <w:footnoteRef/>
      </w:r>
      <w:r>
        <w:t xml:space="preserve"> Australian Government </w:t>
      </w:r>
      <w:hyperlink r:id="rId1" w:history="1">
        <w:r w:rsidRPr="00A67006">
          <w:rPr>
            <w:rStyle w:val="Hyperlink"/>
            <w:i/>
          </w:rPr>
          <w:t>Online Copyright Infringement Discussion Paper</w:t>
        </w:r>
      </w:hyperlink>
      <w:r>
        <w:t xml:space="preserve"> (August 2013)</w:t>
      </w:r>
    </w:p>
  </w:footnote>
  <w:footnote w:id="3">
    <w:p w14:paraId="611B8722" w14:textId="30377AFC" w:rsidR="00221972" w:rsidRDefault="00221972" w:rsidP="00B821C3">
      <w:pPr>
        <w:pStyle w:val="FootnoteText"/>
      </w:pPr>
      <w:r>
        <w:rPr>
          <w:rStyle w:val="FootnoteReference"/>
        </w:rPr>
        <w:footnoteRef/>
      </w:r>
      <w:r>
        <w:t xml:space="preserve"> See for example </w:t>
      </w:r>
      <w:hyperlink r:id="rId2" w:history="1">
        <w:r w:rsidRPr="00C721E6">
          <w:rPr>
            <w:rStyle w:val="Hyperlink"/>
            <w:i/>
          </w:rPr>
          <w:t>Copyright and the Digital Economy</w:t>
        </w:r>
      </w:hyperlink>
      <w:r>
        <w:t xml:space="preserve"> (ALRC Report 122) (2013); </w:t>
      </w:r>
      <w:hyperlink r:id="rId3" w:history="1">
        <w:r w:rsidRPr="00C721E6">
          <w:rPr>
            <w:rStyle w:val="Hyperlink"/>
            <w:i/>
          </w:rPr>
          <w:t>At what Cost?  IT Pricing and the Australia Tax</w:t>
        </w:r>
      </w:hyperlink>
      <w:r>
        <w:rPr>
          <w:i/>
        </w:rPr>
        <w:t xml:space="preserve"> (</w:t>
      </w:r>
      <w:r w:rsidRPr="00C721E6">
        <w:t>2013)</w:t>
      </w:r>
      <w:r>
        <w:t xml:space="preserve">; </w:t>
      </w:r>
      <w:r>
        <w:rPr>
          <w:color w:val="000000"/>
        </w:rPr>
        <w:t xml:space="preserve">Intellectual Property and Competition Review Committee, </w:t>
      </w:r>
      <w:r>
        <w:rPr>
          <w:i/>
          <w:iCs/>
          <w:color w:val="000000"/>
        </w:rPr>
        <w:t>Review of Intellectual Property Legislation under the Competition Principles Agreement</w:t>
      </w:r>
      <w:r>
        <w:rPr>
          <w:color w:val="000000"/>
        </w:rPr>
        <w:t xml:space="preserve"> (2000) </w:t>
      </w:r>
    </w:p>
    <w:p w14:paraId="26E65290" w14:textId="53FEDFA9" w:rsidR="00221972" w:rsidRPr="00B821C3" w:rsidRDefault="00221972">
      <w:pPr>
        <w:pStyle w:val="FootnoteText"/>
        <w:rPr>
          <w:lang w:val="en-GB"/>
        </w:rPr>
      </w:pPr>
    </w:p>
  </w:footnote>
  <w:footnote w:id="4">
    <w:p w14:paraId="04ADC460" w14:textId="39EAB700" w:rsidR="00221972" w:rsidRPr="00447218" w:rsidRDefault="00221972">
      <w:pPr>
        <w:pStyle w:val="FootnoteText"/>
        <w:rPr>
          <w:rFonts w:ascii="Calibri" w:hAnsi="Calibri"/>
          <w:lang w:val="en-GB"/>
        </w:rPr>
      </w:pPr>
      <w:r>
        <w:rPr>
          <w:rStyle w:val="FootnoteReference"/>
        </w:rPr>
        <w:footnoteRef/>
      </w:r>
      <w:r w:rsidRPr="00447218">
        <w:rPr>
          <w:rFonts w:ascii="Calibri" w:eastAsia="Times New Roman" w:hAnsi="Calibri"/>
          <w:i/>
          <w:w w:val="105"/>
          <w:kern w:val="40"/>
        </w:rPr>
        <w:t>Roadshow Films Pty Ltd &amp; Ors v iiNet Ltd</w:t>
      </w:r>
      <w:r w:rsidRPr="00447218">
        <w:rPr>
          <w:rFonts w:ascii="Calibri" w:hAnsi="Calibri"/>
        </w:rPr>
        <w:t xml:space="preserve"> [2012] HCA 16 (20 April 2012)</w:t>
      </w:r>
    </w:p>
  </w:footnote>
  <w:footnote w:id="5">
    <w:p w14:paraId="6351E622" w14:textId="7C00DF74" w:rsidR="00221972" w:rsidRPr="005D2FAF" w:rsidRDefault="00221972">
      <w:pPr>
        <w:pStyle w:val="FootnoteText"/>
        <w:rPr>
          <w:lang w:val="en-GB"/>
        </w:rPr>
      </w:pPr>
      <w:r>
        <w:rPr>
          <w:rStyle w:val="FootnoteReference"/>
        </w:rPr>
        <w:footnoteRef/>
      </w:r>
      <w:r>
        <w:t xml:space="preserve"> </w:t>
      </w:r>
      <w:r>
        <w:rPr>
          <w:lang w:val="en-GB"/>
        </w:rPr>
        <w:t>Giblin, R op cit at 9</w:t>
      </w:r>
    </w:p>
  </w:footnote>
  <w:footnote w:id="6">
    <w:p w14:paraId="16C4D50A" w14:textId="79372D6E" w:rsidR="00221972" w:rsidRPr="0034474A" w:rsidRDefault="00221972">
      <w:pPr>
        <w:pStyle w:val="FootnoteText"/>
        <w:rPr>
          <w:i/>
          <w:lang w:val="en-GB"/>
        </w:rPr>
      </w:pPr>
      <w:r>
        <w:rPr>
          <w:rStyle w:val="FootnoteReference"/>
        </w:rPr>
        <w:footnoteRef/>
      </w:r>
      <w:r>
        <w:t xml:space="preserve"> </w:t>
      </w:r>
      <w:r>
        <w:rPr>
          <w:lang w:val="en-GB"/>
        </w:rPr>
        <w:t xml:space="preserve">See Part 3A </w:t>
      </w:r>
      <w:r>
        <w:rPr>
          <w:i/>
          <w:lang w:val="en-GB"/>
        </w:rPr>
        <w:t>Copyright Regulations 1969</w:t>
      </w:r>
    </w:p>
  </w:footnote>
  <w:footnote w:id="7">
    <w:p w14:paraId="6ED13056" w14:textId="77777777" w:rsidR="00221972" w:rsidRPr="00A67006" w:rsidRDefault="00221972" w:rsidP="00D82873">
      <w:pPr>
        <w:pStyle w:val="FootnoteText"/>
        <w:rPr>
          <w:lang w:val="en-GB"/>
        </w:rPr>
      </w:pPr>
      <w:r>
        <w:rPr>
          <w:rStyle w:val="FootnoteReference"/>
        </w:rPr>
        <w:footnoteRef/>
      </w:r>
      <w:r>
        <w:t xml:space="preserve"> Australian Government </w:t>
      </w:r>
      <w:hyperlink r:id="rId4" w:history="1">
        <w:r w:rsidRPr="00A67006">
          <w:rPr>
            <w:rStyle w:val="Hyperlink"/>
            <w:i/>
          </w:rPr>
          <w:t>Online Copyright Infringement Discussion Paper</w:t>
        </w:r>
      </w:hyperlink>
      <w:r>
        <w:t xml:space="preserve"> (August 2013)</w:t>
      </w:r>
    </w:p>
  </w:footnote>
  <w:footnote w:id="8">
    <w:p w14:paraId="3C2741D7" w14:textId="50808B53" w:rsidR="00221972" w:rsidRPr="002462B4" w:rsidRDefault="00221972">
      <w:pPr>
        <w:pStyle w:val="FootnoteText"/>
        <w:rPr>
          <w:lang w:val="en-GB"/>
        </w:rPr>
      </w:pPr>
      <w:r>
        <w:rPr>
          <w:rStyle w:val="FootnoteReference"/>
        </w:rPr>
        <w:footnoteRef/>
      </w:r>
      <w:r>
        <w:t xml:space="preserve"> </w:t>
      </w:r>
      <w:r>
        <w:rPr>
          <w:lang w:val="en-US"/>
        </w:rPr>
        <w:t xml:space="preserve">Rebecca Giblin, ‘Evaluating Graduated Response’ (2014) 37 </w:t>
      </w:r>
      <w:r w:rsidRPr="001D2CBE">
        <w:rPr>
          <w:i/>
          <w:lang w:val="en-US"/>
        </w:rPr>
        <w:t>Columbia Journal of Law &amp; the Arts</w:t>
      </w:r>
      <w:r>
        <w:rPr>
          <w:lang w:val="en-US"/>
        </w:rPr>
        <w:t xml:space="preserve"> 147-20 </w:t>
      </w:r>
    </w:p>
  </w:footnote>
  <w:footnote w:id="9">
    <w:p w14:paraId="360E2B4D" w14:textId="2E903C6C" w:rsidR="00221972" w:rsidRPr="0039280F" w:rsidRDefault="00221972">
      <w:pPr>
        <w:pStyle w:val="FootnoteText"/>
        <w:rPr>
          <w:lang w:val="en-GB"/>
        </w:rPr>
      </w:pPr>
      <w:r>
        <w:rPr>
          <w:rStyle w:val="FootnoteReference"/>
        </w:rPr>
        <w:footnoteRef/>
      </w:r>
      <w:r>
        <w:t xml:space="preserve"> </w:t>
      </w:r>
      <w:r>
        <w:rPr>
          <w:lang w:val="en-GB"/>
        </w:rPr>
        <w:t xml:space="preserve">Senator the Hon George Brandis QC Attorney-General and Minister for the Arts </w:t>
      </w:r>
      <w:hyperlink r:id="rId5" w:history="1">
        <w:r w:rsidRPr="0039280F">
          <w:rPr>
            <w:rStyle w:val="Hyperlink"/>
            <w:i/>
            <w:lang w:val="en-GB"/>
          </w:rPr>
          <w:t>Address at the Opening of the Australian Digital Alliance Forum</w:t>
        </w:r>
      </w:hyperlink>
      <w:r>
        <w:rPr>
          <w:i/>
          <w:lang w:val="en-GB"/>
        </w:rPr>
        <w:t xml:space="preserve"> </w:t>
      </w:r>
      <w:r>
        <w:rPr>
          <w:lang w:val="en-GB"/>
        </w:rPr>
        <w:t xml:space="preserve"> (Feb 2014)</w:t>
      </w:r>
    </w:p>
  </w:footnote>
  <w:footnote w:id="10">
    <w:p w14:paraId="63E42108" w14:textId="0F8C6274" w:rsidR="00221972" w:rsidRPr="0053026B" w:rsidRDefault="00221972">
      <w:pPr>
        <w:pStyle w:val="FootnoteText"/>
        <w:rPr>
          <w:lang w:val="en-GB"/>
        </w:rPr>
      </w:pPr>
      <w:r>
        <w:rPr>
          <w:rStyle w:val="FootnoteReference"/>
        </w:rPr>
        <w:footnoteRef/>
      </w:r>
      <w:r>
        <w:t xml:space="preserve"> </w:t>
      </w:r>
      <w:hyperlink r:id="rId6" w:history="1">
        <w:r w:rsidRPr="00C721E6">
          <w:rPr>
            <w:rStyle w:val="Hyperlink"/>
            <w:i/>
          </w:rPr>
          <w:t>At what Cost?  IT Pricing and the Australia Tax</w:t>
        </w:r>
      </w:hyperlink>
      <w:r>
        <w:rPr>
          <w:i/>
        </w:rPr>
        <w:t xml:space="preserve"> (</w:t>
      </w:r>
      <w:r w:rsidRPr="00C721E6">
        <w:t>2013)</w:t>
      </w:r>
    </w:p>
  </w:footnote>
  <w:footnote w:id="11">
    <w:p w14:paraId="1DD5ABD6" w14:textId="6F209101" w:rsidR="00221972" w:rsidRPr="003B46DC" w:rsidRDefault="00221972">
      <w:pPr>
        <w:pStyle w:val="FootnoteText"/>
        <w:rPr>
          <w:lang w:val="en-GB"/>
        </w:rPr>
      </w:pPr>
      <w:r>
        <w:rPr>
          <w:rStyle w:val="FootnoteReference"/>
        </w:rPr>
        <w:footnoteRef/>
      </w:r>
      <w:r>
        <w:t xml:space="preserve"> </w:t>
      </w:r>
      <w:r>
        <w:rPr>
          <w:lang w:val="en-GB"/>
        </w:rPr>
        <w:t xml:space="preserve">For example the accidental blocking of 250,000 websites by ASIC, reported by Porter, C  </w:t>
      </w:r>
      <w:hyperlink r:id="rId7" w:history="1">
        <w:r w:rsidRPr="003B46DC">
          <w:rPr>
            <w:rStyle w:val="Hyperlink"/>
            <w:i/>
            <w:lang w:val="en-GB"/>
          </w:rPr>
          <w:t>Oops 250,000 websites blocked by ASIC.  Again</w:t>
        </w:r>
      </w:hyperlink>
      <w:r>
        <w:rPr>
          <w:lang w:val="en-GB"/>
        </w:rPr>
        <w:t xml:space="preserve"> (June 6 2013) from news.com.au</w:t>
      </w:r>
    </w:p>
  </w:footnote>
  <w:footnote w:id="12">
    <w:p w14:paraId="58696A41" w14:textId="4CF91946" w:rsidR="00221972" w:rsidRPr="003B46DC" w:rsidRDefault="00221972">
      <w:pPr>
        <w:pStyle w:val="FootnoteText"/>
        <w:rPr>
          <w:lang w:val="en-GB"/>
        </w:rPr>
      </w:pPr>
      <w:r>
        <w:rPr>
          <w:rStyle w:val="FootnoteReference"/>
        </w:rPr>
        <w:footnoteRef/>
      </w:r>
      <w:r>
        <w:t xml:space="preserve"> The extremes are easy to see, from North Korea (blocks most internet) to Turkey’s struggle to block previously accessible websites Parkinson, J </w:t>
      </w:r>
      <w:hyperlink r:id="rId8" w:history="1">
        <w:r w:rsidRPr="003B46DC">
          <w:rPr>
            <w:rStyle w:val="Hyperlink"/>
          </w:rPr>
          <w:t>Turkey’s Erdogan: One of the World’s most determined internet censors</w:t>
        </w:r>
      </w:hyperlink>
      <w:r>
        <w:t xml:space="preserve"> Wall Street Journal (2 May 2014) </w:t>
      </w:r>
    </w:p>
  </w:footnote>
  <w:footnote w:id="13">
    <w:p w14:paraId="1DF8A062" w14:textId="783CE00C" w:rsidR="00221972" w:rsidRPr="002462B4" w:rsidRDefault="00221972">
      <w:pPr>
        <w:pStyle w:val="FootnoteText"/>
        <w:rPr>
          <w:lang w:val="en-GB"/>
        </w:rPr>
      </w:pPr>
      <w:r>
        <w:rPr>
          <w:rStyle w:val="FootnoteReference"/>
        </w:rPr>
        <w:footnoteRef/>
      </w:r>
      <w:r>
        <w:t xml:space="preserve"> </w:t>
      </w:r>
      <w:r>
        <w:rPr>
          <w:lang w:val="en-GB"/>
        </w:rPr>
        <w:t xml:space="preserve">The Pirate Bay may hold the record for the most blocked copyright site currently in existence, but a Dutch court recently held that blocking it was ineffective reported in TorrentFreak </w:t>
      </w:r>
      <w:r w:rsidRPr="002462B4">
        <w:rPr>
          <w:i/>
          <w:lang w:val="en-GB"/>
        </w:rPr>
        <w:t xml:space="preserve">ISPs no longer have to block the Pirate Bay Dutch Court Rules </w:t>
      </w:r>
      <w:r>
        <w:rPr>
          <w:lang w:val="en-GB"/>
        </w:rPr>
        <w:t>(Jan 28</w:t>
      </w:r>
      <w:hyperlink r:id="rId9" w:history="1">
        <w:r w:rsidRPr="002462B4">
          <w:rPr>
            <w:rStyle w:val="Hyperlink"/>
            <w:lang w:val="en-GB"/>
          </w:rPr>
          <w:t>http://torrentfreak.com/isps-no-longer-have-to-block-the-pirate-bay-dutch-court-rules-140128/</w:t>
        </w:r>
      </w:hyperlink>
      <w:r>
        <w:rPr>
          <w:lang w:val="en-GB"/>
        </w:rPr>
        <w:t xml:space="preserve"> 2014)</w:t>
      </w:r>
    </w:p>
  </w:footnote>
  <w:footnote w:id="14">
    <w:p w14:paraId="77D4D052" w14:textId="78D0A1F9" w:rsidR="00221972" w:rsidRPr="006A1DDB" w:rsidRDefault="00221972">
      <w:pPr>
        <w:pStyle w:val="FootnoteText"/>
        <w:rPr>
          <w:lang w:val="en-GB"/>
        </w:rPr>
      </w:pPr>
      <w:r>
        <w:rPr>
          <w:rStyle w:val="FootnoteReference"/>
        </w:rPr>
        <w:footnoteRef/>
      </w:r>
      <w:r>
        <w:t xml:space="preserve"> </w:t>
      </w:r>
      <w:r>
        <w:rPr>
          <w:lang w:val="en-GB"/>
        </w:rPr>
        <w:t>ADA/ALCC J</w:t>
      </w:r>
      <w:hyperlink r:id="rId10" w:history="1">
        <w:r w:rsidRPr="006A1DDB">
          <w:rPr>
            <w:rStyle w:val="Hyperlink"/>
            <w:lang w:val="en-GB"/>
          </w:rPr>
          <w:t>oint Submission to the Attorney-General’s Consultation Paper: Expanding the scope copyright safe harbours</w:t>
        </w:r>
      </w:hyperlink>
      <w:r>
        <w:rPr>
          <w:lang w:val="en-GB"/>
        </w:rPr>
        <w:t xml:space="preserve"> (Nov 2011)</w:t>
      </w:r>
    </w:p>
  </w:footnote>
  <w:footnote w:id="15">
    <w:p w14:paraId="6D870215" w14:textId="473E9DD0" w:rsidR="00221972" w:rsidRDefault="00221972" w:rsidP="006A1DDB">
      <w:pPr>
        <w:pStyle w:val="FootnoteText"/>
      </w:pPr>
      <w:r>
        <w:rPr>
          <w:rStyle w:val="FootnoteReference"/>
        </w:rPr>
        <w:footnoteRef/>
      </w:r>
      <w:r>
        <w:t xml:space="preserve"> Namely “service provider, in relation to a Category A activity, means a provider of transmission, routing, or connections for digital online communications without modification of their content between or among points specified by the user of material of the user’s choosing”.</w:t>
      </w:r>
    </w:p>
    <w:p w14:paraId="51649026" w14:textId="62C99E8B" w:rsidR="00221972" w:rsidRPr="006A1DDB" w:rsidRDefault="00221972" w:rsidP="006A1DDB">
      <w:pPr>
        <w:pStyle w:val="FootnoteText"/>
      </w:pPr>
      <w:r>
        <w:t>“service provider, in relation to a Category B, C or D activity, means a provider or operator of facilities for online services or network access”.</w:t>
      </w:r>
    </w:p>
  </w:footnote>
  <w:footnote w:id="16">
    <w:p w14:paraId="73FA2C46" w14:textId="0B307D87" w:rsidR="00221972" w:rsidRPr="006A1DDB" w:rsidRDefault="00221972">
      <w:pPr>
        <w:pStyle w:val="FootnoteText"/>
        <w:rPr>
          <w:i/>
          <w:lang w:val="en-GB"/>
        </w:rPr>
      </w:pPr>
      <w:r>
        <w:rPr>
          <w:rStyle w:val="FootnoteReference"/>
        </w:rPr>
        <w:footnoteRef/>
      </w:r>
      <w:r>
        <w:t xml:space="preserve"> </w:t>
      </w:r>
      <w:r>
        <w:rPr>
          <w:lang w:val="en-GB"/>
        </w:rPr>
        <w:t xml:space="preserve">S116AH </w:t>
      </w:r>
      <w:r>
        <w:rPr>
          <w:i/>
          <w:lang w:val="en-GB"/>
        </w:rPr>
        <w:t>Copyright Act 1968</w:t>
      </w:r>
    </w:p>
  </w:footnote>
  <w:footnote w:id="17">
    <w:p w14:paraId="295FFFD0" w14:textId="2B2FD51B" w:rsidR="00221972" w:rsidRPr="00D35469" w:rsidRDefault="00221972" w:rsidP="009F71F6">
      <w:pPr>
        <w:pStyle w:val="FootnoteText"/>
        <w:rPr>
          <w:lang w:val="en-US"/>
        </w:rPr>
      </w:pPr>
      <w:r>
        <w:rPr>
          <w:rStyle w:val="FootnoteReference"/>
        </w:rPr>
        <w:footnoteRef/>
      </w:r>
      <w:r>
        <w:t xml:space="preserve"> </w:t>
      </w:r>
      <w:r w:rsidRPr="00BF2B96">
        <w:rPr>
          <w:i/>
          <w:lang w:val="en-US"/>
        </w:rPr>
        <w:t>Perre v Apand</w:t>
      </w:r>
      <w:r>
        <w:rPr>
          <w:i/>
          <w:lang w:val="en-US"/>
        </w:rPr>
        <w:t xml:space="preserve"> Pty Ltd</w:t>
      </w:r>
      <w:r>
        <w:rPr>
          <w:lang w:val="en-US"/>
        </w:rPr>
        <w:t xml:space="preserve"> (1999) 198 CLR 180, 224 [115], citing </w:t>
      </w:r>
      <w:r w:rsidRPr="00BF2B96">
        <w:rPr>
          <w:i/>
          <w:lang w:val="en-US"/>
        </w:rPr>
        <w:t>Caltex Oil (Australia) Pty Ltd v The Dredge "Willemstad"</w:t>
      </w:r>
      <w:r w:rsidRPr="00D35469">
        <w:rPr>
          <w:lang w:val="en-US"/>
        </w:rPr>
        <w:t xml:space="preserve"> (1976) 136 CLR 529</w:t>
      </w:r>
      <w:r>
        <w:rPr>
          <w:lang w:val="en-US"/>
        </w:rPr>
        <w:t>,</w:t>
      </w:r>
      <w:r w:rsidRPr="00D35469">
        <w:rPr>
          <w:lang w:val="en-US"/>
        </w:rPr>
        <w:t xml:space="preserve"> 552 </w:t>
      </w:r>
      <w:r>
        <w:rPr>
          <w:lang w:val="en-US"/>
        </w:rPr>
        <w:t>(</w:t>
      </w:r>
      <w:r w:rsidRPr="00D35469">
        <w:rPr>
          <w:lang w:val="en-US"/>
        </w:rPr>
        <w:t>Gibbs J</w:t>
      </w:r>
      <w:r>
        <w:rPr>
          <w:lang w:val="en-US"/>
        </w:rPr>
        <w:t>)</w:t>
      </w:r>
      <w:r w:rsidRPr="00D35469">
        <w:rPr>
          <w:lang w:val="en-US"/>
        </w:rPr>
        <w:t xml:space="preserve">; </w:t>
      </w:r>
      <w:r w:rsidRPr="00BF2B96">
        <w:rPr>
          <w:i/>
          <w:lang w:val="en-US"/>
        </w:rPr>
        <w:t>Jaensch v Coffey</w:t>
      </w:r>
      <w:r w:rsidRPr="00D35469">
        <w:rPr>
          <w:lang w:val="en-US"/>
        </w:rPr>
        <w:t xml:space="preserve"> (1984) 155 CLR 549</w:t>
      </w:r>
      <w:r>
        <w:rPr>
          <w:lang w:val="en-US"/>
        </w:rPr>
        <w:t>,</w:t>
      </w:r>
      <w:r w:rsidRPr="00D35469">
        <w:rPr>
          <w:lang w:val="en-US"/>
        </w:rPr>
        <w:t xml:space="preserve"> 578 </w:t>
      </w:r>
      <w:r>
        <w:rPr>
          <w:lang w:val="en-US"/>
        </w:rPr>
        <w:t>(</w:t>
      </w:r>
      <w:r w:rsidRPr="00D35469">
        <w:rPr>
          <w:lang w:val="en-US"/>
        </w:rPr>
        <w:t>Deane J</w:t>
      </w:r>
      <w:r>
        <w:rPr>
          <w:lang w:val="en-US"/>
        </w:rPr>
        <w:t>)</w:t>
      </w:r>
      <w:r w:rsidRPr="00D35469">
        <w:rPr>
          <w:lang w:val="en-US"/>
        </w:rPr>
        <w:t xml:space="preserve">; </w:t>
      </w:r>
      <w:r w:rsidRPr="00BF2B96">
        <w:rPr>
          <w:i/>
          <w:lang w:val="en-US"/>
        </w:rPr>
        <w:t>Sutherland Shire Council v Heyman</w:t>
      </w:r>
      <w:r w:rsidRPr="00D35469">
        <w:rPr>
          <w:lang w:val="en-US"/>
        </w:rPr>
        <w:t xml:space="preserve"> (1985) 157 CLR 424</w:t>
      </w:r>
      <w:r>
        <w:rPr>
          <w:lang w:val="en-US"/>
        </w:rPr>
        <w:t>,</w:t>
      </w:r>
      <w:r w:rsidRPr="00D35469">
        <w:rPr>
          <w:lang w:val="en-US"/>
        </w:rPr>
        <w:t xml:space="preserve"> 503 </w:t>
      </w:r>
      <w:r>
        <w:rPr>
          <w:lang w:val="en-US"/>
        </w:rPr>
        <w:t>(</w:t>
      </w:r>
      <w:r w:rsidRPr="00D35469">
        <w:rPr>
          <w:lang w:val="en-US"/>
        </w:rPr>
        <w:t>Deane J</w:t>
      </w:r>
      <w:r>
        <w:rPr>
          <w:lang w:val="en-US"/>
        </w:rPr>
        <w:t>)</w:t>
      </w:r>
      <w:r w:rsidRPr="00D35469">
        <w:rPr>
          <w:lang w:val="en-US"/>
        </w:rPr>
        <w:t xml:space="preserve">; </w:t>
      </w:r>
      <w:r w:rsidRPr="00BF2B96">
        <w:rPr>
          <w:i/>
          <w:lang w:val="en-US"/>
        </w:rPr>
        <w:t>Bryan v Maloney</w:t>
      </w:r>
      <w:r w:rsidRPr="00D35469">
        <w:rPr>
          <w:lang w:val="en-US"/>
        </w:rPr>
        <w:t xml:space="preserve"> (1995) 182 CLR 609</w:t>
      </w:r>
      <w:r>
        <w:rPr>
          <w:lang w:val="en-US"/>
        </w:rPr>
        <w:t>,</w:t>
      </w:r>
      <w:r w:rsidRPr="00D35469">
        <w:rPr>
          <w:lang w:val="en-US"/>
        </w:rPr>
        <w:t xml:space="preserve"> 618-619 </w:t>
      </w:r>
      <w:r>
        <w:rPr>
          <w:lang w:val="en-US"/>
        </w:rPr>
        <w:t>(</w:t>
      </w:r>
      <w:r w:rsidRPr="00D35469">
        <w:rPr>
          <w:lang w:val="en-US"/>
        </w:rPr>
        <w:t>Mason CJ, Deane and Gaudron JJ</w:t>
      </w:r>
      <w:r>
        <w:rPr>
          <w:lang w:val="en-US"/>
        </w:rPr>
        <w:t>)</w:t>
      </w:r>
      <w:r w:rsidRPr="00D35469">
        <w:rPr>
          <w:lang w:val="en-US"/>
        </w:rPr>
        <w:t xml:space="preserve">; </w:t>
      </w:r>
      <w:r w:rsidRPr="00BF2B96">
        <w:rPr>
          <w:i/>
          <w:lang w:val="en-US"/>
        </w:rPr>
        <w:t>Hill v Van Erp</w:t>
      </w:r>
      <w:r w:rsidRPr="00D35469">
        <w:rPr>
          <w:lang w:val="en-US"/>
        </w:rPr>
        <w:t xml:space="preserve"> (1997) 188 CLR 159</w:t>
      </w:r>
      <w:r>
        <w:rPr>
          <w:lang w:val="en-US"/>
        </w:rPr>
        <w:t>,</w:t>
      </w:r>
      <w:r w:rsidRPr="00D35469">
        <w:rPr>
          <w:lang w:val="en-US"/>
        </w:rPr>
        <w:t xml:space="preserve"> 184 </w:t>
      </w:r>
      <w:r>
        <w:rPr>
          <w:lang w:val="en-US"/>
        </w:rPr>
        <w:t>(</w:t>
      </w:r>
      <w:r w:rsidRPr="00D35469">
        <w:rPr>
          <w:lang w:val="en-US"/>
        </w:rPr>
        <w:t>Dawson J</w:t>
      </w:r>
      <w:r>
        <w:rPr>
          <w:lang w:val="en-US"/>
        </w:rPr>
        <w:t>)</w:t>
      </w:r>
      <w:r w:rsidRPr="00D35469">
        <w:rPr>
          <w:lang w:val="en-US"/>
        </w:rPr>
        <w:t xml:space="preserve">, 211 </w:t>
      </w:r>
      <w:r>
        <w:rPr>
          <w:lang w:val="en-US"/>
        </w:rPr>
        <w:t>(</w:t>
      </w:r>
      <w:r w:rsidRPr="00D35469">
        <w:rPr>
          <w:lang w:val="en-US"/>
        </w:rPr>
        <w:t>McHugh J</w:t>
      </w:r>
      <w:r>
        <w:rPr>
          <w:lang w:val="en-US"/>
        </w:rPr>
        <w:t>)</w:t>
      </w:r>
      <w:r w:rsidRPr="00D35469">
        <w:rPr>
          <w:lang w:val="en-US"/>
        </w:rPr>
        <w:t>.</w:t>
      </w:r>
    </w:p>
  </w:footnote>
  <w:footnote w:id="18">
    <w:p w14:paraId="62E5A541" w14:textId="650F4020" w:rsidR="00221972" w:rsidRPr="006B537F" w:rsidRDefault="00221972" w:rsidP="009F71F6">
      <w:pPr>
        <w:pStyle w:val="FootnoteText"/>
        <w:rPr>
          <w:lang w:val="en-US"/>
        </w:rPr>
      </w:pPr>
      <w:r>
        <w:rPr>
          <w:rStyle w:val="FootnoteReference"/>
        </w:rPr>
        <w:footnoteRef/>
      </w:r>
      <w:r>
        <w:t xml:space="preserve"> </w:t>
      </w:r>
      <w:r>
        <w:rPr>
          <w:lang w:val="en-US"/>
        </w:rPr>
        <w:t xml:space="preserve">For a general discussion of the kinds of circumstances where this may be the case, see the judgment of Gummow and Hayne JJ, </w:t>
      </w:r>
      <w:r w:rsidRPr="00BF2B96">
        <w:rPr>
          <w:i/>
          <w:lang w:val="en-US"/>
        </w:rPr>
        <w:t>Roadshow Films Pty Ltd v iiNet Ltd (No 2)</w:t>
      </w:r>
      <w:r>
        <w:rPr>
          <w:lang w:val="en-US"/>
        </w:rPr>
        <w:t xml:space="preserve"> (2012) 248 CLR 42, 79-80 [107]-[110] (‘</w:t>
      </w:r>
      <w:r w:rsidRPr="00BF2B96">
        <w:rPr>
          <w:i/>
          <w:lang w:val="en-US"/>
        </w:rPr>
        <w:t>iiNet</w:t>
      </w:r>
      <w:r>
        <w:rPr>
          <w:lang w:val="en-US"/>
        </w:rPr>
        <w:t>’).</w:t>
      </w:r>
    </w:p>
  </w:footnote>
  <w:footnote w:id="19">
    <w:p w14:paraId="496925E4" w14:textId="610EF845" w:rsidR="00221972" w:rsidRDefault="00221972" w:rsidP="00D6460C">
      <w:pPr>
        <w:pStyle w:val="FootnoteText"/>
      </w:pPr>
      <w:r>
        <w:rPr>
          <w:rStyle w:val="FootnoteReference"/>
        </w:rPr>
        <w:footnoteRef/>
      </w:r>
      <w:r>
        <w:t xml:space="preserve"> See pages 2-4, 6 for discussion of the kinds of involvement that have been accepted as giving rise to authorisation liability (or not being sufficient to do so).</w:t>
      </w:r>
    </w:p>
  </w:footnote>
  <w:footnote w:id="20">
    <w:p w14:paraId="1F018E86" w14:textId="228E0B34" w:rsidR="00221972" w:rsidRPr="00266F14" w:rsidRDefault="00221972" w:rsidP="009F71F6">
      <w:pPr>
        <w:pStyle w:val="FootnoteText"/>
      </w:pPr>
      <w:r w:rsidRPr="00B54BB3">
        <w:rPr>
          <w:rStyle w:val="FootnoteReference"/>
        </w:rPr>
        <w:footnoteRef/>
      </w:r>
      <w:r w:rsidRPr="00B54BB3">
        <w:t xml:space="preserve"> </w:t>
      </w:r>
      <w:r w:rsidRPr="00A90BFE">
        <w:rPr>
          <w:i/>
        </w:rPr>
        <w:t>Copyright Act 1968</w:t>
      </w:r>
      <w:r w:rsidRPr="00B54BB3">
        <w:t>, ss</w:t>
      </w:r>
      <w:r>
        <w:t xml:space="preserve"> 13(2), 36(1), 101(1) (‘</w:t>
      </w:r>
      <w:r w:rsidRPr="00BF2B96">
        <w:rPr>
          <w:i/>
        </w:rPr>
        <w:t>Copyright Act</w:t>
      </w:r>
      <w:r>
        <w:t>’).</w:t>
      </w:r>
    </w:p>
  </w:footnote>
  <w:footnote w:id="21">
    <w:p w14:paraId="19C57157" w14:textId="125F733F" w:rsidR="00221972" w:rsidRPr="00B54BB3" w:rsidRDefault="00221972">
      <w:pPr>
        <w:pStyle w:val="FootnoteText"/>
        <w:rPr>
          <w:lang w:val="en-US"/>
        </w:rPr>
      </w:pPr>
      <w:r>
        <w:rPr>
          <w:rStyle w:val="FootnoteReference"/>
        </w:rPr>
        <w:footnoteRef/>
      </w:r>
      <w:r>
        <w:t xml:space="preserve"> </w:t>
      </w:r>
      <w:r w:rsidRPr="001023DA">
        <w:rPr>
          <w:bCs/>
          <w:iCs/>
        </w:rPr>
        <w:t>(1975) 133 CLR 1</w:t>
      </w:r>
      <w:r>
        <w:rPr>
          <w:bCs/>
          <w:iCs/>
        </w:rPr>
        <w:t xml:space="preserve"> (‘</w:t>
      </w:r>
      <w:r w:rsidRPr="00BF2B96">
        <w:rPr>
          <w:bCs/>
          <w:i/>
          <w:iCs/>
        </w:rPr>
        <w:t>Moorhouse</w:t>
      </w:r>
      <w:r>
        <w:rPr>
          <w:bCs/>
          <w:iCs/>
        </w:rPr>
        <w:t>’).</w:t>
      </w:r>
    </w:p>
  </w:footnote>
  <w:footnote w:id="22">
    <w:p w14:paraId="4699D518" w14:textId="77777777" w:rsidR="00221972" w:rsidRPr="00B54BB3" w:rsidRDefault="00221972">
      <w:pPr>
        <w:pStyle w:val="FootnoteText"/>
        <w:rPr>
          <w:lang w:val="en-US"/>
        </w:rPr>
      </w:pPr>
      <w:r>
        <w:rPr>
          <w:rStyle w:val="FootnoteReference"/>
        </w:rPr>
        <w:footnoteRef/>
      </w:r>
      <w:r>
        <w:t xml:space="preserve"> </w:t>
      </w:r>
      <w:r w:rsidRPr="00F73F72">
        <w:rPr>
          <w:i/>
        </w:rPr>
        <w:t>Moorhouse</w:t>
      </w:r>
      <w:r>
        <w:t xml:space="preserve"> </w:t>
      </w:r>
      <w:r w:rsidRPr="0013373F">
        <w:t>at 13.</w:t>
      </w:r>
    </w:p>
  </w:footnote>
  <w:footnote w:id="23">
    <w:p w14:paraId="1690E64B" w14:textId="76BEB0D6" w:rsidR="00221972" w:rsidRPr="00B54BB3" w:rsidRDefault="00221972">
      <w:pPr>
        <w:pStyle w:val="FootnoteText"/>
        <w:rPr>
          <w:lang w:val="en-US"/>
        </w:rPr>
      </w:pPr>
      <w:r>
        <w:rPr>
          <w:rStyle w:val="FootnoteReference"/>
        </w:rPr>
        <w:footnoteRef/>
      </w:r>
      <w:r>
        <w:t xml:space="preserve"> Revised </w:t>
      </w:r>
      <w:r w:rsidRPr="0013373F">
        <w:t xml:space="preserve">Explanatory Memorandum, </w:t>
      </w:r>
      <w:r w:rsidRPr="0013373F">
        <w:rPr>
          <w:i/>
        </w:rPr>
        <w:t xml:space="preserve">Copyright Amendment (Digital Agenda) Bill </w:t>
      </w:r>
      <w:r>
        <w:rPr>
          <w:i/>
        </w:rPr>
        <w:t>2000</w:t>
      </w:r>
      <w:r w:rsidRPr="0013373F">
        <w:t xml:space="preserve"> (Cth), Schedule 1 at [5</w:t>
      </w:r>
      <w:r>
        <w:t>7</w:t>
      </w:r>
      <w:r w:rsidRPr="0013373F">
        <w:t>]</w:t>
      </w:r>
      <w:r>
        <w:t>, [157]</w:t>
      </w:r>
      <w:r w:rsidRPr="0013373F">
        <w:t>.</w:t>
      </w:r>
    </w:p>
  </w:footnote>
  <w:footnote w:id="24">
    <w:p w14:paraId="4FDF864A" w14:textId="061509EF" w:rsidR="00221972" w:rsidRPr="00B54BB3" w:rsidRDefault="00221972" w:rsidP="00B54BB3">
      <w:pPr>
        <w:pStyle w:val="FootnoteText"/>
        <w:rPr>
          <w:lang w:val="en-US"/>
        </w:rPr>
      </w:pPr>
      <w:r>
        <w:rPr>
          <w:rStyle w:val="FootnoteReference"/>
        </w:rPr>
        <w:footnoteRef/>
      </w:r>
      <w:r>
        <w:t xml:space="preserve"> Ibid</w:t>
      </w:r>
      <w:r w:rsidRPr="0013373F">
        <w:t>.</w:t>
      </w:r>
    </w:p>
  </w:footnote>
  <w:footnote w:id="25">
    <w:p w14:paraId="4D2FA3D1" w14:textId="6C402EEF" w:rsidR="00221972" w:rsidRPr="00E72D8D" w:rsidRDefault="00221972">
      <w:pPr>
        <w:pStyle w:val="FootnoteText"/>
        <w:rPr>
          <w:lang w:val="en-US"/>
        </w:rPr>
      </w:pPr>
      <w:r>
        <w:rPr>
          <w:rStyle w:val="FootnoteReference"/>
        </w:rPr>
        <w:footnoteRef/>
      </w:r>
      <w:r>
        <w:t xml:space="preserve"> </w:t>
      </w:r>
      <w:r w:rsidRPr="0013373F">
        <w:rPr>
          <w:i/>
        </w:rPr>
        <w:t>Copyright Act</w:t>
      </w:r>
      <w:r w:rsidRPr="0013373F">
        <w:t>, ss 36(1A) (relating to copyright in works) and 101(1A) (for copyright in subject matter other than works).</w:t>
      </w:r>
      <w:r>
        <w:t xml:space="preserve"> See </w:t>
      </w:r>
      <w:r w:rsidRPr="005609A0">
        <w:rPr>
          <w:i/>
        </w:rPr>
        <w:t>iiNet</w:t>
      </w:r>
      <w:r>
        <w:t>, 53-54 [22] (French CJ, Crennan and Kiefel JJ), 87 [133] (Gummow and Hayne JJ).</w:t>
      </w:r>
    </w:p>
  </w:footnote>
  <w:footnote w:id="26">
    <w:p w14:paraId="37AC6816" w14:textId="25F8CF74" w:rsidR="00221972" w:rsidRDefault="00221972">
      <w:pPr>
        <w:pStyle w:val="FootnoteText"/>
      </w:pPr>
      <w:r>
        <w:rPr>
          <w:rStyle w:val="FootnoteReference"/>
        </w:rPr>
        <w:footnoteRef/>
      </w:r>
      <w:r>
        <w:t xml:space="preserve"> </w:t>
      </w:r>
      <w:r w:rsidRPr="006309FF">
        <w:rPr>
          <w:i/>
        </w:rPr>
        <w:t>iiNet</w:t>
      </w:r>
      <w:r>
        <w:t xml:space="preserve">, 48 [5] (French CJ, Crennan and Kiefel JJ), citing </w:t>
      </w:r>
      <w:r w:rsidRPr="006309FF">
        <w:rPr>
          <w:i/>
        </w:rPr>
        <w:t>Moorhouse</w:t>
      </w:r>
      <w:r>
        <w:t>, 12 (Gibbs J);</w:t>
      </w:r>
      <w:r w:rsidRPr="00203569">
        <w:t xml:space="preserve"> </w:t>
      </w:r>
      <w:r w:rsidRPr="006309FF">
        <w:rPr>
          <w:i/>
        </w:rPr>
        <w:t>Performing Right Society Ltd v Ciryl Theatrical Syndicate Ltd</w:t>
      </w:r>
      <w:r w:rsidRPr="00203569">
        <w:t xml:space="preserve"> [1924] 1 KB 1</w:t>
      </w:r>
      <w:r>
        <w:t>,</w:t>
      </w:r>
      <w:r w:rsidRPr="00203569">
        <w:t xml:space="preserve"> 9 </w:t>
      </w:r>
      <w:r>
        <w:t>(</w:t>
      </w:r>
      <w:r w:rsidRPr="00203569">
        <w:t>Banke</w:t>
      </w:r>
      <w:r>
        <w:t xml:space="preserve">s LJ). See also </w:t>
      </w:r>
      <w:r>
        <w:rPr>
          <w:i/>
        </w:rPr>
        <w:t xml:space="preserve">Australasian Performing Right Association Ltd v </w:t>
      </w:r>
      <w:r w:rsidRPr="006309FF">
        <w:rPr>
          <w:i/>
        </w:rPr>
        <w:t>Metro on George</w:t>
      </w:r>
      <w:r>
        <w:t xml:space="preserve"> (2004) 210 ALR 244, 251 [17] (Bennett J) (‘</w:t>
      </w:r>
      <w:r w:rsidRPr="006309FF">
        <w:rPr>
          <w:i/>
        </w:rPr>
        <w:t>APRA v Metro on George</w:t>
      </w:r>
      <w:r>
        <w:t xml:space="preserve">’); </w:t>
      </w:r>
      <w:r>
        <w:rPr>
          <w:i/>
        </w:rPr>
        <w:t>Australasian Performing Right Association Ltd v</w:t>
      </w:r>
      <w:r>
        <w:t xml:space="preserve"> </w:t>
      </w:r>
      <w:r w:rsidRPr="006A37BB">
        <w:rPr>
          <w:i/>
        </w:rPr>
        <w:t>Jain</w:t>
      </w:r>
      <w:r>
        <w:t xml:space="preserve"> (1990) 26 FCR 53, 61 (Sheppard, Foster and Hill JJ) (‘</w:t>
      </w:r>
      <w:r w:rsidRPr="006309FF">
        <w:rPr>
          <w:i/>
        </w:rPr>
        <w:t>APRA v Jain</w:t>
      </w:r>
      <w:r>
        <w:t>’).</w:t>
      </w:r>
    </w:p>
  </w:footnote>
  <w:footnote w:id="27">
    <w:p w14:paraId="6C21E1B1" w14:textId="49CED143" w:rsidR="00221972" w:rsidRPr="00135469" w:rsidRDefault="00221972" w:rsidP="002177E9">
      <w:pPr>
        <w:pStyle w:val="FootnoteText"/>
      </w:pPr>
      <w:r>
        <w:rPr>
          <w:rStyle w:val="FootnoteReference"/>
        </w:rPr>
        <w:footnoteRef/>
      </w:r>
      <w:r>
        <w:t xml:space="preserve"> </w:t>
      </w:r>
      <w:r w:rsidRPr="003A1B53">
        <w:rPr>
          <w:i/>
        </w:rPr>
        <w:t>Winstone v Wurlitzer</w:t>
      </w:r>
      <w:r>
        <w:rPr>
          <w:i/>
        </w:rPr>
        <w:t xml:space="preserve"> Automatic Phonograph Co of Australia Pty</w:t>
      </w:r>
      <w:r w:rsidRPr="003A1B53">
        <w:rPr>
          <w:i/>
        </w:rPr>
        <w:t xml:space="preserve"> Ltd</w:t>
      </w:r>
      <w:r>
        <w:t xml:space="preserve"> [1946] VLR 338, 345 (Herring CJ),cited with approval in </w:t>
      </w:r>
      <w:r w:rsidRPr="00135469">
        <w:rPr>
          <w:i/>
        </w:rPr>
        <w:t>APRA v Jain</w:t>
      </w:r>
      <w:r>
        <w:t>,</w:t>
      </w:r>
      <w:r w:rsidRPr="002177E9">
        <w:t xml:space="preserve"> 59;</w:t>
      </w:r>
      <w:r>
        <w:rPr>
          <w:i/>
        </w:rPr>
        <w:t xml:space="preserve"> </w:t>
      </w:r>
      <w:r w:rsidRPr="00135469">
        <w:rPr>
          <w:i/>
        </w:rPr>
        <w:t>TS</w:t>
      </w:r>
      <w:r>
        <w:rPr>
          <w:i/>
        </w:rPr>
        <w:t xml:space="preserve"> </w:t>
      </w:r>
      <w:r w:rsidRPr="00135469">
        <w:rPr>
          <w:i/>
        </w:rPr>
        <w:t>&amp;</w:t>
      </w:r>
      <w:r>
        <w:rPr>
          <w:i/>
        </w:rPr>
        <w:t xml:space="preserve"> </w:t>
      </w:r>
      <w:r w:rsidRPr="00135469">
        <w:rPr>
          <w:i/>
        </w:rPr>
        <w:t xml:space="preserve">B Retail Systems </w:t>
      </w:r>
      <w:r>
        <w:rPr>
          <w:i/>
        </w:rPr>
        <w:t xml:space="preserve">Pty Ltd </w:t>
      </w:r>
      <w:r w:rsidRPr="00135469">
        <w:rPr>
          <w:i/>
        </w:rPr>
        <w:t xml:space="preserve">v 3Fold Resources </w:t>
      </w:r>
      <w:r>
        <w:rPr>
          <w:i/>
        </w:rPr>
        <w:t xml:space="preserve">Pty Ltd </w:t>
      </w:r>
      <w:r w:rsidRPr="00135469">
        <w:rPr>
          <w:i/>
        </w:rPr>
        <w:t>(No 3)</w:t>
      </w:r>
      <w:r w:rsidRPr="002177E9">
        <w:t xml:space="preserve"> (2007) 15</w:t>
      </w:r>
      <w:r>
        <w:t>8 FCR 444, 488-489</w:t>
      </w:r>
      <w:r w:rsidRPr="002177E9">
        <w:t xml:space="preserve"> [176]</w:t>
      </w:r>
      <w:r>
        <w:t xml:space="preserve"> (Finkelstein J)</w:t>
      </w:r>
      <w:r w:rsidRPr="002177E9">
        <w:t>;</w:t>
      </w:r>
      <w:r>
        <w:t xml:space="preserve"> </w:t>
      </w:r>
      <w:r w:rsidRPr="00135469">
        <w:rPr>
          <w:i/>
        </w:rPr>
        <w:t>iiNet</w:t>
      </w:r>
      <w:r>
        <w:t>,</w:t>
      </w:r>
      <w:r w:rsidRPr="002177E9">
        <w:t xml:space="preserve"> </w:t>
      </w:r>
      <w:r>
        <w:t xml:space="preserve">84 </w:t>
      </w:r>
      <w:r w:rsidRPr="002177E9">
        <w:t>[125]</w:t>
      </w:r>
      <w:r>
        <w:t xml:space="preserve"> (</w:t>
      </w:r>
      <w:r w:rsidRPr="002177E9">
        <w:t>Gummow and Hayne JJ</w:t>
      </w:r>
      <w:r>
        <w:t xml:space="preserve">); </w:t>
      </w:r>
      <w:r w:rsidRPr="00135469">
        <w:rPr>
          <w:i/>
        </w:rPr>
        <w:t>Fairlight.AU Pty Ltd v Peter Vogel Instruments Pty Ltd</w:t>
      </w:r>
      <w:r>
        <w:t xml:space="preserve"> [2013] FCA 1280, [27] (Edmonds J)</w:t>
      </w:r>
      <w:r w:rsidRPr="002177E9">
        <w:t>.</w:t>
      </w:r>
      <w:r>
        <w:t xml:space="preserve"> </w:t>
      </w:r>
    </w:p>
  </w:footnote>
  <w:footnote w:id="28">
    <w:p w14:paraId="6ADC2B00" w14:textId="1FDD7447" w:rsidR="00221972" w:rsidRDefault="00221972">
      <w:pPr>
        <w:pStyle w:val="FootnoteText"/>
      </w:pPr>
      <w:r>
        <w:rPr>
          <w:rStyle w:val="FootnoteReference"/>
        </w:rPr>
        <w:footnoteRef/>
      </w:r>
      <w:r>
        <w:t xml:space="preserve"> </w:t>
      </w:r>
      <w:hyperlink r:id="rId11" w:history="1">
        <w:r w:rsidRPr="00660473">
          <w:rPr>
            <w:rStyle w:val="Hyperlink"/>
            <w:color w:val="auto"/>
            <w:u w:val="none"/>
          </w:rPr>
          <w:t>Robert</w:t>
        </w:r>
      </w:hyperlink>
      <w:r w:rsidRPr="00660473">
        <w:t xml:space="preserve"> </w:t>
      </w:r>
      <w:r>
        <w:t xml:space="preserve">Burrell and Kimberlee Weatherall, “Providing Services to Copyright Infringers: </w:t>
      </w:r>
      <w:r w:rsidRPr="00135469">
        <w:t>Roadshow Films Pty Ltd v iiNet Ltd</w:t>
      </w:r>
      <w:r>
        <w:t xml:space="preserve">” (2011) 33(4) </w:t>
      </w:r>
      <w:r w:rsidRPr="00365CB6">
        <w:rPr>
          <w:i/>
        </w:rPr>
        <w:t>Sydney Law Review</w:t>
      </w:r>
      <w:r>
        <w:t xml:space="preserve"> 801, 811-812.</w:t>
      </w:r>
    </w:p>
  </w:footnote>
  <w:footnote w:id="29">
    <w:p w14:paraId="1B6A87D4" w14:textId="438E3CA1" w:rsidR="00221972" w:rsidRPr="001349DB" w:rsidRDefault="00221972">
      <w:pPr>
        <w:pStyle w:val="FootnoteText"/>
        <w:rPr>
          <w:lang w:val="en-US"/>
        </w:rPr>
      </w:pPr>
      <w:r>
        <w:rPr>
          <w:rStyle w:val="FootnoteReference"/>
        </w:rPr>
        <w:footnoteRef/>
      </w:r>
      <w:r>
        <w:t xml:space="preserve"> </w:t>
      </w:r>
      <w:r w:rsidRPr="00365CB6">
        <w:rPr>
          <w:lang w:val="en-US"/>
        </w:rPr>
        <w:t>(2004) 210 ALR 244</w:t>
      </w:r>
      <w:r>
        <w:rPr>
          <w:lang w:val="en-US"/>
        </w:rPr>
        <w:t>.</w:t>
      </w:r>
    </w:p>
  </w:footnote>
  <w:footnote w:id="30">
    <w:p w14:paraId="60E987FC" w14:textId="42B8C38E" w:rsidR="00221972" w:rsidRPr="001349DB" w:rsidRDefault="00221972">
      <w:pPr>
        <w:pStyle w:val="FootnoteText"/>
        <w:rPr>
          <w:lang w:val="en-US"/>
        </w:rPr>
      </w:pPr>
      <w:r>
        <w:rPr>
          <w:rStyle w:val="FootnoteReference"/>
        </w:rPr>
        <w:footnoteRef/>
      </w:r>
      <w:r>
        <w:t xml:space="preserve"> </w:t>
      </w:r>
      <w:r w:rsidRPr="00365CB6">
        <w:rPr>
          <w:i/>
          <w:lang w:val="en-US"/>
        </w:rPr>
        <w:t>APRA v Metro on George</w:t>
      </w:r>
      <w:r>
        <w:rPr>
          <w:lang w:val="en-US"/>
        </w:rPr>
        <w:t>, 249-250 [13].</w:t>
      </w:r>
    </w:p>
  </w:footnote>
  <w:footnote w:id="31">
    <w:p w14:paraId="7A12C2AF" w14:textId="6BEF23BC" w:rsidR="00221972" w:rsidRPr="00EA402C" w:rsidRDefault="00221972">
      <w:pPr>
        <w:pStyle w:val="FootnoteText"/>
        <w:rPr>
          <w:lang w:val="en-US"/>
        </w:rPr>
      </w:pPr>
      <w:r>
        <w:rPr>
          <w:rStyle w:val="FootnoteReference"/>
        </w:rPr>
        <w:footnoteRef/>
      </w:r>
      <w:r>
        <w:t xml:space="preserve"> </w:t>
      </w:r>
      <w:r>
        <w:rPr>
          <w:lang w:val="en-US"/>
        </w:rPr>
        <w:t>Ibid, 256-264 [42]-[85].</w:t>
      </w:r>
    </w:p>
  </w:footnote>
  <w:footnote w:id="32">
    <w:p w14:paraId="3CC3A23E" w14:textId="7E619561" w:rsidR="00221972" w:rsidRPr="004F5EB3" w:rsidRDefault="00221972">
      <w:pPr>
        <w:pStyle w:val="FootnoteText"/>
        <w:rPr>
          <w:lang w:val="en-US"/>
        </w:rPr>
      </w:pPr>
      <w:r>
        <w:rPr>
          <w:rStyle w:val="FootnoteReference"/>
        </w:rPr>
        <w:footnoteRef/>
      </w:r>
      <w:r>
        <w:t xml:space="preserve"> </w:t>
      </w:r>
      <w:r w:rsidRPr="001F7E18">
        <w:rPr>
          <w:i/>
        </w:rPr>
        <w:t>Universal Music Australia Pty Ltd v Sharman License Holdings Ltd</w:t>
      </w:r>
      <w:r>
        <w:t xml:space="preserve"> (2005) 220 ALR 1 (‘</w:t>
      </w:r>
      <w:r w:rsidRPr="001F7E18">
        <w:rPr>
          <w:i/>
        </w:rPr>
        <w:t>Sharman</w:t>
      </w:r>
      <w:r>
        <w:t>’).</w:t>
      </w:r>
    </w:p>
  </w:footnote>
  <w:footnote w:id="33">
    <w:p w14:paraId="3834094E" w14:textId="2BBF0C29" w:rsidR="00221972" w:rsidRDefault="00221972">
      <w:pPr>
        <w:pStyle w:val="FootnoteText"/>
      </w:pPr>
      <w:r>
        <w:rPr>
          <w:rStyle w:val="FootnoteReference"/>
        </w:rPr>
        <w:footnoteRef/>
      </w:r>
      <w:r>
        <w:t xml:space="preserve"> </w:t>
      </w:r>
      <w:r>
        <w:rPr>
          <w:iCs/>
        </w:rPr>
        <w:t>Ibid, 24-28 [67]-[84], 98-99 [404]-[407]</w:t>
      </w:r>
      <w:r>
        <w:rPr>
          <w:rFonts w:ascii="Times New Roman" w:hAnsi="Times New Roman" w:cs="Times New Roman"/>
          <w:color w:val="000000"/>
          <w:sz w:val="16"/>
          <w:szCs w:val="16"/>
        </w:rPr>
        <w:t xml:space="preserve">.  </w:t>
      </w:r>
    </w:p>
  </w:footnote>
  <w:footnote w:id="34">
    <w:p w14:paraId="3F55B493" w14:textId="5B425470" w:rsidR="00221972" w:rsidRDefault="00221972">
      <w:pPr>
        <w:pStyle w:val="FootnoteText"/>
      </w:pPr>
      <w:r>
        <w:rPr>
          <w:rStyle w:val="FootnoteReference"/>
        </w:rPr>
        <w:footnoteRef/>
      </w:r>
      <w:r>
        <w:t xml:space="preserve"> Ibid, 99-100 [414].</w:t>
      </w:r>
    </w:p>
  </w:footnote>
  <w:footnote w:id="35">
    <w:p w14:paraId="2E246010" w14:textId="1C85F4FA" w:rsidR="00221972" w:rsidRDefault="00221972">
      <w:pPr>
        <w:pStyle w:val="FootnoteText"/>
      </w:pPr>
      <w:r>
        <w:rPr>
          <w:rStyle w:val="FootnoteReference"/>
        </w:rPr>
        <w:footnoteRef/>
      </w:r>
      <w:r>
        <w:t xml:space="preserve"> </w:t>
      </w:r>
      <w:r w:rsidRPr="00164D9F">
        <w:rPr>
          <w:i/>
        </w:rPr>
        <w:t>Cooper v Universal Music Australia Pty Ltd</w:t>
      </w:r>
      <w:r>
        <w:t xml:space="preserve"> (2006) 156 FCR 380 (‘</w:t>
      </w:r>
      <w:r w:rsidRPr="00164D9F">
        <w:rPr>
          <w:i/>
        </w:rPr>
        <w:t>Cooper</w:t>
      </w:r>
      <w:r>
        <w:t>’).</w:t>
      </w:r>
    </w:p>
  </w:footnote>
  <w:footnote w:id="36">
    <w:p w14:paraId="55FD50EE" w14:textId="7945903D" w:rsidR="00221972" w:rsidRPr="009D04B6" w:rsidRDefault="00221972">
      <w:pPr>
        <w:pStyle w:val="FootnoteText"/>
        <w:rPr>
          <w:lang w:val="en-US"/>
        </w:rPr>
      </w:pPr>
      <w:r>
        <w:rPr>
          <w:rStyle w:val="FootnoteReference"/>
        </w:rPr>
        <w:footnoteRef/>
      </w:r>
      <w:r>
        <w:t xml:space="preserve"> </w:t>
      </w:r>
      <w:r w:rsidRPr="00874866">
        <w:rPr>
          <w:i/>
          <w:lang w:val="en-US"/>
        </w:rPr>
        <w:t>Cooper</w:t>
      </w:r>
      <w:r>
        <w:rPr>
          <w:lang w:val="en-US"/>
        </w:rPr>
        <w:t>, 413 [154]-[158] per Kenny J, 392 [61]-[65] per Branson J (placing less weight on the relationship between the ISP and the third party infringers). French J agreed with Branson J and Kenny J: 382 [1].</w:t>
      </w:r>
    </w:p>
  </w:footnote>
  <w:footnote w:id="37">
    <w:p w14:paraId="60E98A32" w14:textId="7CBB5B2F" w:rsidR="00221972" w:rsidRDefault="00221972">
      <w:pPr>
        <w:pStyle w:val="FootnoteText"/>
      </w:pPr>
      <w:r>
        <w:rPr>
          <w:rStyle w:val="FootnoteReference"/>
        </w:rPr>
        <w:footnoteRef/>
      </w:r>
      <w:r>
        <w:t xml:space="preserve"> </w:t>
      </w:r>
      <w:r w:rsidRPr="00874866">
        <w:t xml:space="preserve">Australian Government, </w:t>
      </w:r>
      <w:r w:rsidRPr="00874866">
        <w:rPr>
          <w:i/>
        </w:rPr>
        <w:t>Online Copyright Infringement</w:t>
      </w:r>
      <w:r w:rsidRPr="00874866">
        <w:t>, Discussion Paper (July 2014)</w:t>
      </w:r>
      <w:r>
        <w:t xml:space="preserve"> </w:t>
      </w:r>
      <w:r>
        <w:br/>
      </w:r>
      <w:r w:rsidRPr="00660473">
        <w:t>&lt;</w:t>
      </w:r>
      <w:hyperlink r:id="rId12" w:history="1">
        <w:r w:rsidRPr="00660473">
          <w:rPr>
            <w:rStyle w:val="Hyperlink"/>
            <w:color w:val="auto"/>
            <w:u w:val="none"/>
          </w:rPr>
          <w:t>http://www.ag.gov.au/consultations/pages/onlinecopyrightinfringementpublicconsultation.aspx</w:t>
        </w:r>
      </w:hyperlink>
      <w:r w:rsidRPr="00660473">
        <w:t xml:space="preserve">&gt; (‘Discussion </w:t>
      </w:r>
      <w:r>
        <w:t>Paper’).</w:t>
      </w:r>
    </w:p>
  </w:footnote>
  <w:footnote w:id="38">
    <w:p w14:paraId="5BD85E07" w14:textId="20FB4513" w:rsidR="00221972" w:rsidRDefault="00221972">
      <w:pPr>
        <w:pStyle w:val="FootnoteText"/>
      </w:pPr>
      <w:r>
        <w:rPr>
          <w:rStyle w:val="FootnoteReference"/>
        </w:rPr>
        <w:footnoteRef/>
      </w:r>
      <w:r>
        <w:t xml:space="preserve"> Ibid, 4.</w:t>
      </w:r>
    </w:p>
  </w:footnote>
  <w:footnote w:id="39">
    <w:p w14:paraId="0FBC0497" w14:textId="5F2F9E5B" w:rsidR="00221972" w:rsidRDefault="00221972">
      <w:pPr>
        <w:pStyle w:val="FootnoteText"/>
      </w:pPr>
      <w:r>
        <w:rPr>
          <w:rStyle w:val="FootnoteReference"/>
        </w:rPr>
        <w:footnoteRef/>
      </w:r>
      <w:r>
        <w:t xml:space="preserve"> Ibid.</w:t>
      </w:r>
    </w:p>
  </w:footnote>
  <w:footnote w:id="40">
    <w:p w14:paraId="72169905" w14:textId="3C9887EC" w:rsidR="00221972" w:rsidRDefault="00221972" w:rsidP="007E1A64">
      <w:pPr>
        <w:pStyle w:val="FootnoteText"/>
      </w:pPr>
      <w:r>
        <w:rPr>
          <w:rStyle w:val="FootnoteReference"/>
        </w:rPr>
        <w:footnoteRef/>
      </w:r>
      <w:r>
        <w:t xml:space="preserve"> Discussion Paper, 3.</w:t>
      </w:r>
    </w:p>
  </w:footnote>
  <w:footnote w:id="41">
    <w:p w14:paraId="67F9377F" w14:textId="71E288E8" w:rsidR="00221972" w:rsidRPr="00221981" w:rsidRDefault="00221972" w:rsidP="007E1A64">
      <w:pPr>
        <w:pStyle w:val="FootnoteText"/>
        <w:rPr>
          <w:lang w:val="en-US"/>
        </w:rPr>
      </w:pPr>
      <w:r>
        <w:rPr>
          <w:rStyle w:val="FootnoteReference"/>
        </w:rPr>
        <w:footnoteRef/>
      </w:r>
      <w:r>
        <w:t xml:space="preserve"> </w:t>
      </w:r>
      <w:r w:rsidRPr="00FD1645">
        <w:rPr>
          <w:i/>
          <w:lang w:val="en-US"/>
        </w:rPr>
        <w:t>iiNet</w:t>
      </w:r>
      <w:r>
        <w:rPr>
          <w:lang w:val="en-US"/>
        </w:rPr>
        <w:t>, 67-71 [65]-[79] (French CJ, Crennan and Kiefel JJ), 87-90 [135]-[146] (Gummow and Hayne JJ).</w:t>
      </w:r>
    </w:p>
  </w:footnote>
  <w:footnote w:id="42">
    <w:p w14:paraId="5ED2E584" w14:textId="2BF1A8F0" w:rsidR="00221972" w:rsidRPr="00E72D8D" w:rsidRDefault="00221972" w:rsidP="007E1A64">
      <w:pPr>
        <w:pStyle w:val="FootnoteText"/>
      </w:pPr>
      <w:r>
        <w:rPr>
          <w:rStyle w:val="FootnoteReference"/>
        </w:rPr>
        <w:footnoteRef/>
      </w:r>
      <w:r>
        <w:t xml:space="preserve"> </w:t>
      </w:r>
      <w:r>
        <w:rPr>
          <w:lang w:val="en-US"/>
        </w:rPr>
        <w:t xml:space="preserve">See, eg, </w:t>
      </w:r>
      <w:r>
        <w:rPr>
          <w:i/>
          <w:lang w:val="en-US"/>
        </w:rPr>
        <w:t>APRA v Metro v George</w:t>
      </w:r>
      <w:r>
        <w:rPr>
          <w:lang w:val="en-US"/>
        </w:rPr>
        <w:t xml:space="preserve">, 258-259 [56]-[59], where the otherwise reasonable step </w:t>
      </w:r>
      <w:r w:rsidRPr="00745C9B">
        <w:rPr>
          <w:lang w:val="en-US"/>
        </w:rPr>
        <w:t xml:space="preserve">of requiring hirers to contractually warrant that they would comply with the </w:t>
      </w:r>
      <w:r w:rsidRPr="00C133EA">
        <w:rPr>
          <w:i/>
          <w:lang w:val="en-US"/>
        </w:rPr>
        <w:t>Copyright Act</w:t>
      </w:r>
      <w:r w:rsidRPr="00745C9B">
        <w:rPr>
          <w:lang w:val="en-US"/>
        </w:rPr>
        <w:t xml:space="preserve"> became ineffective wh</w:t>
      </w:r>
      <w:r>
        <w:rPr>
          <w:lang w:val="en-US"/>
        </w:rPr>
        <w:t>en Metro failed to enforce it, knowing that infringements were taking place</w:t>
      </w:r>
      <w:r>
        <w:t xml:space="preserve">. </w:t>
      </w:r>
    </w:p>
  </w:footnote>
  <w:footnote w:id="43">
    <w:p w14:paraId="5BBBE5BF" w14:textId="02E50460" w:rsidR="00221972" w:rsidRPr="00221981" w:rsidRDefault="00221972" w:rsidP="007E1A64">
      <w:pPr>
        <w:pStyle w:val="FootnoteText"/>
        <w:rPr>
          <w:lang w:val="en-US"/>
        </w:rPr>
      </w:pPr>
      <w:r>
        <w:rPr>
          <w:rStyle w:val="FootnoteReference"/>
        </w:rPr>
        <w:footnoteRef/>
      </w:r>
      <w:r>
        <w:t xml:space="preserve"> </w:t>
      </w:r>
      <w:r w:rsidRPr="004A1227">
        <w:rPr>
          <w:i/>
          <w:lang w:val="en-US"/>
        </w:rPr>
        <w:t>iiNet</w:t>
      </w:r>
      <w:r>
        <w:rPr>
          <w:lang w:val="en-US"/>
        </w:rPr>
        <w:t>, 67-73 [65]-[79] (French CJ, Crennan and Kiefel JJ), 87-90 [135]-[146] (Gummow and Hayne JJ).</w:t>
      </w:r>
    </w:p>
  </w:footnote>
  <w:footnote w:id="44">
    <w:p w14:paraId="6C54ED63" w14:textId="26E599CA" w:rsidR="00221972" w:rsidRPr="00486ADF" w:rsidRDefault="00221972">
      <w:pPr>
        <w:pStyle w:val="FootnoteText"/>
        <w:rPr>
          <w:lang w:val="en-US"/>
        </w:rPr>
      </w:pPr>
      <w:r>
        <w:rPr>
          <w:rStyle w:val="FootnoteReference"/>
        </w:rPr>
        <w:footnoteRef/>
      </w:r>
      <w:r>
        <w:t xml:space="preserve"> </w:t>
      </w:r>
      <w:r>
        <w:rPr>
          <w:lang w:val="en-US"/>
        </w:rPr>
        <w:t>Discussion Paper, 4.</w:t>
      </w:r>
    </w:p>
  </w:footnote>
  <w:footnote w:id="45">
    <w:p w14:paraId="5269C6B3" w14:textId="514995BA" w:rsidR="00221972" w:rsidRPr="00F55F0B" w:rsidRDefault="00221972">
      <w:pPr>
        <w:pStyle w:val="FootnoteText"/>
        <w:rPr>
          <w:lang w:val="en-US"/>
        </w:rPr>
      </w:pPr>
      <w:r>
        <w:rPr>
          <w:rStyle w:val="FootnoteReference"/>
        </w:rPr>
        <w:footnoteRef/>
      </w:r>
      <w:r>
        <w:t xml:space="preserve"> The f</w:t>
      </w:r>
      <w:r>
        <w:rPr>
          <w:lang w:val="en-US"/>
        </w:rPr>
        <w:t xml:space="preserve">ull list of cases considered as part of this analysis is at Appendix 1. </w:t>
      </w:r>
    </w:p>
  </w:footnote>
  <w:footnote w:id="46">
    <w:p w14:paraId="3EF89399" w14:textId="1060CC74" w:rsidR="00221972" w:rsidRPr="00F55F0B" w:rsidRDefault="00221972">
      <w:pPr>
        <w:pStyle w:val="FootnoteText"/>
        <w:rPr>
          <w:lang w:val="en-US"/>
        </w:rPr>
      </w:pPr>
      <w:r>
        <w:rPr>
          <w:rStyle w:val="FootnoteReference"/>
        </w:rPr>
        <w:footnoteRef/>
      </w:r>
      <w:r>
        <w:t xml:space="preserve"> </w:t>
      </w:r>
      <w:r>
        <w:rPr>
          <w:lang w:val="en-US"/>
        </w:rPr>
        <w:t xml:space="preserve">See, eg, </w:t>
      </w:r>
      <w:r w:rsidRPr="00B01CD4">
        <w:rPr>
          <w:i/>
          <w:lang w:val="en-US"/>
        </w:rPr>
        <w:t>Cooper</w:t>
      </w:r>
      <w:r>
        <w:rPr>
          <w:lang w:val="en-US"/>
        </w:rPr>
        <w:t>, 393 [71] (Branson J), 415 [167] (Kenny J), in which an employee of the ISP, Mr Takoushis, avoided liability for authorisation despite knowing of the third party infringement and taking no steps to prevent it. This was because he had no authority to prevent infringement, and it was not a reasonable step for him to approach his employers to compel them to do so.</w:t>
      </w:r>
    </w:p>
  </w:footnote>
  <w:footnote w:id="47">
    <w:p w14:paraId="314F02C5" w14:textId="6C496675" w:rsidR="00221972" w:rsidRPr="00BA0BC5" w:rsidRDefault="00221972">
      <w:pPr>
        <w:pStyle w:val="FootnoteText"/>
      </w:pPr>
      <w:r>
        <w:rPr>
          <w:rStyle w:val="FootnoteReference"/>
        </w:rPr>
        <w:footnoteRef/>
      </w:r>
      <w:r>
        <w:t xml:space="preserve"> Adelaide City Council, </w:t>
      </w:r>
      <w:r w:rsidRPr="00E211AE">
        <w:rPr>
          <w:i/>
        </w:rPr>
        <w:t>AdelaideFree WiFi</w:t>
      </w:r>
      <w:r>
        <w:t xml:space="preserve"> &lt;</w:t>
      </w:r>
      <w:r w:rsidRPr="00E211AE">
        <w:t>http://www.adelaidecitycouncil.com/explore-the-city/city-information/city-services/internet-and-wi-fi/</w:t>
      </w:r>
      <w:r>
        <w:t xml:space="preserve">&gt;; City of Perth, </w:t>
      </w:r>
      <w:r>
        <w:rPr>
          <w:i/>
        </w:rPr>
        <w:t xml:space="preserve">Free City WiFi </w:t>
      </w:r>
      <w:r>
        <w:t>&lt;h</w:t>
      </w:r>
      <w:r w:rsidRPr="00BA0BC5">
        <w:t>ttp://www.perth.wa.gov.au/our-city/getting-and-around/free-city-wifi</w:t>
      </w:r>
      <w:r>
        <w:t>&gt;.</w:t>
      </w:r>
    </w:p>
  </w:footnote>
  <w:footnote w:id="48">
    <w:p w14:paraId="67E030EE" w14:textId="76FB62CF" w:rsidR="00221972" w:rsidRPr="00E211AE" w:rsidRDefault="00221972">
      <w:pPr>
        <w:pStyle w:val="FootnoteText"/>
      </w:pPr>
      <w:r>
        <w:rPr>
          <w:rStyle w:val="FootnoteReference"/>
        </w:rPr>
        <w:footnoteRef/>
      </w:r>
      <w:r>
        <w:t xml:space="preserve"> Victorian State Government, </w:t>
      </w:r>
      <w:r>
        <w:rPr>
          <w:i/>
        </w:rPr>
        <w:t>Public Wi-Fi</w:t>
      </w:r>
      <w:r>
        <w:t xml:space="preserve"> &lt;</w:t>
      </w:r>
      <w:r w:rsidRPr="00E211AE">
        <w:t>http://www.digital.vic.gov.au/initiatives/public-wi-fi/</w:t>
      </w:r>
      <w:r>
        <w:t xml:space="preserve">&gt;; </w:t>
      </w:r>
      <w:r>
        <w:br/>
        <w:t xml:space="preserve">Conor Hickey, ‘Free </w:t>
      </w:r>
      <w:r w:rsidRPr="00E211AE">
        <w:t>Wi-Fi for Canberrans to come to Civic in October</w:t>
      </w:r>
      <w:r>
        <w:t xml:space="preserve">’, </w:t>
      </w:r>
      <w:r>
        <w:rPr>
          <w:i/>
        </w:rPr>
        <w:t>Canberra Times</w:t>
      </w:r>
      <w:r>
        <w:t xml:space="preserve"> (online), 29 May 2014 &lt;</w:t>
      </w:r>
      <w:r w:rsidRPr="00E211AE">
        <w:t>http://www.canberratimes.com.au/technology/technology-news/free-wifi-for-canberrans-to-come-to-civic-in-october-20140529-zrrqb.html</w:t>
      </w:r>
      <w:r>
        <w:t>&gt;.</w:t>
      </w:r>
    </w:p>
  </w:footnote>
  <w:footnote w:id="49">
    <w:p w14:paraId="614334DD" w14:textId="20619CBF" w:rsidR="00221972" w:rsidRPr="00E46339" w:rsidRDefault="00221972" w:rsidP="00B240C7">
      <w:pPr>
        <w:pStyle w:val="FootnoteText"/>
        <w:rPr>
          <w:lang w:val="en-US"/>
        </w:rPr>
      </w:pPr>
      <w:r>
        <w:rPr>
          <w:rStyle w:val="FootnoteReference"/>
        </w:rPr>
        <w:footnoteRef/>
      </w:r>
      <w:r>
        <w:t xml:space="preserve"> Federation Square, </w:t>
      </w:r>
      <w:r>
        <w:rPr>
          <w:i/>
        </w:rPr>
        <w:t>Free Wi-Fi</w:t>
      </w:r>
      <w:r>
        <w:t xml:space="preserve"> &lt;</w:t>
      </w:r>
      <w:r w:rsidRPr="00E46339">
        <w:t>http://www.fedsquare.com/information/free-wifi/</w:t>
      </w:r>
      <w:r>
        <w:t>&gt;.</w:t>
      </w:r>
    </w:p>
  </w:footnote>
  <w:footnote w:id="50">
    <w:p w14:paraId="7F6942C3" w14:textId="38FB780F" w:rsidR="00221972" w:rsidRPr="00E84112" w:rsidRDefault="00221972">
      <w:pPr>
        <w:pStyle w:val="FootnoteText"/>
        <w:rPr>
          <w:lang w:val="en-US"/>
        </w:rPr>
      </w:pPr>
      <w:r>
        <w:rPr>
          <w:rStyle w:val="FootnoteReference"/>
        </w:rPr>
        <w:footnoteRef/>
      </w:r>
      <w:r>
        <w:t xml:space="preserve"> </w:t>
      </w:r>
      <w:r>
        <w:rPr>
          <w:lang w:val="en-US"/>
        </w:rPr>
        <w:t xml:space="preserve">See generally R Barnes, A Cooper, and O Kolkman, ‘Technical Considerations for Internet Service Blocking and Filtering’ (work in progress, Internet Architecture Board, 28 January 2014). </w:t>
      </w:r>
    </w:p>
  </w:footnote>
  <w:footnote w:id="51">
    <w:p w14:paraId="035E0560" w14:textId="5E5E6521" w:rsidR="00221972" w:rsidRPr="00DC4AF7" w:rsidRDefault="00221972" w:rsidP="003753D2">
      <w:pPr>
        <w:pStyle w:val="FootnoteText"/>
      </w:pPr>
      <w:r>
        <w:rPr>
          <w:rStyle w:val="FootnoteReference"/>
        </w:rPr>
        <w:footnoteRef/>
      </w:r>
      <w:r>
        <w:t xml:space="preserve"> See eg Daniel Long, </w:t>
      </w:r>
      <w:r>
        <w:rPr>
          <w:i/>
        </w:rPr>
        <w:t xml:space="preserve">The Australian Tivo FAQ – What it does, will it skip ads, when it launches, will it work with Foxtel </w:t>
      </w:r>
      <w:r>
        <w:t>(2008) &lt;</w:t>
      </w:r>
      <w:r w:rsidRPr="00313567">
        <w:t>http://www.pcauthority.com.au/Feature/116335,the-australian-tivo-faq--what-it-does-will-it-skip-ads-when-it-launch</w:t>
      </w:r>
      <w:r>
        <w:t>es-will-it-work-with-foxtel.aspx&gt;. Some of the key differences are that the US version allows taping of cable television as well as free to air, and has much more sophisticated ad-skipping technology.</w:t>
      </w:r>
    </w:p>
  </w:footnote>
  <w:footnote w:id="52">
    <w:p w14:paraId="43966103" w14:textId="2ECF4096" w:rsidR="00221972" w:rsidRDefault="00221972" w:rsidP="001942E7">
      <w:pPr>
        <w:pStyle w:val="FootnoteText"/>
      </w:pPr>
      <w:r>
        <w:rPr>
          <w:rStyle w:val="FootnoteReference"/>
        </w:rPr>
        <w:footnoteRef/>
      </w:r>
      <w:r>
        <w:t xml:space="preserve"> See detailed discussion in </w:t>
      </w:r>
      <w:r w:rsidRPr="001942E7">
        <w:t xml:space="preserve">Rebecca Giblin, </w:t>
      </w:r>
      <w:r>
        <w:t>‘</w:t>
      </w:r>
      <w:r w:rsidRPr="001942E7">
        <w:t xml:space="preserve">Stranded in the technological dark ages: implications of the Full Federal </w:t>
      </w:r>
      <w:r>
        <w:t>Court's decision in NRL v Optus’</w:t>
      </w:r>
      <w:r w:rsidRPr="001942E7">
        <w:t xml:space="preserve"> (2012) 35 </w:t>
      </w:r>
      <w:r w:rsidRPr="001942E7">
        <w:rPr>
          <w:i/>
          <w:iCs/>
        </w:rPr>
        <w:t>European Intellectual Property Review</w:t>
      </w:r>
      <w:r w:rsidRPr="001942E7">
        <w:t xml:space="preserve"> 632-641.</w:t>
      </w:r>
      <w:r>
        <w:t xml:space="preserve"> </w:t>
      </w:r>
    </w:p>
  </w:footnote>
  <w:footnote w:id="53">
    <w:p w14:paraId="191CCED5" w14:textId="7604F3F4" w:rsidR="00221972" w:rsidRDefault="00221972">
      <w:pPr>
        <w:pStyle w:val="FootnoteText"/>
      </w:pPr>
      <w:r>
        <w:rPr>
          <w:rStyle w:val="FootnoteReference"/>
        </w:rPr>
        <w:footnoteRef/>
      </w:r>
      <w:r>
        <w:t xml:space="preserve"> </w:t>
      </w:r>
      <w:r>
        <w:rPr>
          <w:i/>
        </w:rPr>
        <w:t xml:space="preserve">Australian Tape Manufacturers Association Ltd v Commonwealth </w:t>
      </w:r>
      <w:r>
        <w:t>(1993) 176 CLR 480, 497-498 (Mason CJ, Brennan, Deane and Gaudron JJ).</w:t>
      </w:r>
    </w:p>
  </w:footnote>
  <w:footnote w:id="54">
    <w:p w14:paraId="4CAD87AD" w14:textId="0F19189E" w:rsidR="00221972" w:rsidRPr="00F565EC" w:rsidRDefault="00221972">
      <w:pPr>
        <w:pStyle w:val="FootnoteText"/>
      </w:pPr>
      <w:r w:rsidRPr="00F565EC">
        <w:rPr>
          <w:rStyle w:val="FootnoteReference"/>
        </w:rPr>
        <w:footnoteRef/>
      </w:r>
      <w:r w:rsidRPr="00F565EC">
        <w:t xml:space="preserve"> See National Copyright Unit, Smartcopying </w:t>
      </w:r>
      <w:hyperlink r:id="rId13" w:history="1">
        <w:r w:rsidRPr="00F565EC">
          <w:rPr>
            <w:rStyle w:val="Hyperlink"/>
            <w:color w:val="auto"/>
            <w:u w:val="none"/>
          </w:rPr>
          <w:t>http://www.smartcopying.edu.au/</w:t>
        </w:r>
      </w:hyperlink>
      <w:r w:rsidRPr="00F565EC">
        <w:t>.</w:t>
      </w:r>
    </w:p>
  </w:footnote>
  <w:footnote w:id="55">
    <w:p w14:paraId="3CFC4147" w14:textId="3BD37D1D" w:rsidR="00221972" w:rsidRDefault="00221972" w:rsidP="008C18C5">
      <w:pPr>
        <w:pStyle w:val="FootnoteText"/>
      </w:pPr>
      <w:r>
        <w:rPr>
          <w:rStyle w:val="FootnoteReference"/>
        </w:rPr>
        <w:footnoteRef/>
      </w:r>
      <w:r>
        <w:t xml:space="preserve"> </w:t>
      </w:r>
      <w:r w:rsidRPr="00DD32B7">
        <w:rPr>
          <w:i/>
          <w:lang w:val="en-US"/>
        </w:rPr>
        <w:t>Perre v Apand Pty Ltd</w:t>
      </w:r>
      <w:r w:rsidRPr="00DD32B7">
        <w:rPr>
          <w:lang w:val="en-US"/>
        </w:rPr>
        <w:t xml:space="preserve"> (1999) 198 CLR 180</w:t>
      </w:r>
      <w:r>
        <w:rPr>
          <w:lang w:val="en-US"/>
        </w:rPr>
        <w:t xml:space="preserve">; </w:t>
      </w:r>
      <w:r>
        <w:rPr>
          <w:i/>
          <w:iCs/>
          <w:lang w:val="en-US"/>
        </w:rPr>
        <w:t xml:space="preserve">Johnson Tiles Pty Ltd v Esso Australia Ltd </w:t>
      </w:r>
      <w:r>
        <w:rPr>
          <w:lang w:val="en-US"/>
        </w:rPr>
        <w:t xml:space="preserve">[2003] VSC 27. </w:t>
      </w:r>
    </w:p>
  </w:footnote>
  <w:footnote w:id="56">
    <w:p w14:paraId="6FA69E3C" w14:textId="05F07B14" w:rsidR="00221972" w:rsidRPr="00EB3669" w:rsidRDefault="00221972" w:rsidP="008F745A">
      <w:pPr>
        <w:pStyle w:val="FootnoteText"/>
        <w:rPr>
          <w:lang w:val="en-US"/>
        </w:rPr>
      </w:pPr>
      <w:r>
        <w:rPr>
          <w:rStyle w:val="FootnoteReference"/>
        </w:rPr>
        <w:footnoteRef/>
      </w:r>
      <w:r>
        <w:t xml:space="preserve"> See, eg, the remarks of the trial judge, Cowdroy J, </w:t>
      </w:r>
      <w:r>
        <w:rPr>
          <w:i/>
        </w:rPr>
        <w:t>Roadshow Films Pty Ltd v iiNet Ltd (No 3)</w:t>
      </w:r>
      <w:r>
        <w:t xml:space="preserve"> (2010) 263 ALR 215, 290 [358] (‘[T]</w:t>
      </w:r>
      <w:r w:rsidRPr="00CA3E11">
        <w:t>he law of authorisation has continued to grow more complicated and unwieldy, with a litany of competing and contrasting considerations, and with one statement of principle frequently matched with a contradictory one. The authority on authorisation has become a mire.</w:t>
      </w:r>
      <w:r>
        <w:t xml:space="preserve">’); Hugh </w:t>
      </w:r>
      <w:r w:rsidRPr="00EB3669">
        <w:t xml:space="preserve">Laddie et al, </w:t>
      </w:r>
      <w:r w:rsidRPr="00DA0FFF">
        <w:rPr>
          <w:i/>
        </w:rPr>
        <w:t>The Modern Law of Copyright and Designs</w:t>
      </w:r>
      <w:r w:rsidRPr="00EB3669">
        <w:t xml:space="preserve"> </w:t>
      </w:r>
      <w:r>
        <w:t xml:space="preserve">(Butterworths </w:t>
      </w:r>
      <w:r w:rsidRPr="00EB3669">
        <w:t>3rd ed</w:t>
      </w:r>
      <w:r>
        <w:t>, 2000)</w:t>
      </w:r>
      <w:r w:rsidRPr="00EB3669">
        <w:t>, 39.14 (describing Australia’s authorisation law as ‘hard to reconcile’</w:t>
      </w:r>
      <w:r>
        <w:t>)</w:t>
      </w:r>
      <w:r w:rsidRPr="00EB3669">
        <w:t xml:space="preserve">; Jennifer E Stuckey, </w:t>
      </w:r>
      <w:r>
        <w:t>‘</w:t>
      </w:r>
      <w:r w:rsidRPr="00EB3669">
        <w:t>Liability for Authorizing Infringement of Copyright</w:t>
      </w:r>
      <w:r>
        <w:t>’</w:t>
      </w:r>
      <w:r w:rsidRPr="00EB3669">
        <w:t xml:space="preserve"> (1984) 7</w:t>
      </w:r>
      <w:r>
        <w:t>(1)</w:t>
      </w:r>
      <w:r w:rsidRPr="00EB3669">
        <w:t xml:space="preserve"> </w:t>
      </w:r>
      <w:r w:rsidRPr="00DA0FFF">
        <w:rPr>
          <w:i/>
        </w:rPr>
        <w:t>University of New South Wales Law Journal</w:t>
      </w:r>
      <w:r w:rsidRPr="00EB3669">
        <w:t xml:space="preserve"> 77, at 78 (</w:t>
      </w:r>
      <w:r>
        <w:t xml:space="preserve">as </w:t>
      </w:r>
      <w:r w:rsidRPr="00EB3669">
        <w:t xml:space="preserve">‘enshrouded’ in confusion); David Lindsay, </w:t>
      </w:r>
      <w:r>
        <w:t>‘</w:t>
      </w:r>
      <w:r w:rsidRPr="00EB3669">
        <w:t>Internet intermediary liability: a comparative analysis in the context of the Digital Agenda reforms</w:t>
      </w:r>
      <w:r>
        <w:t>’</w:t>
      </w:r>
      <w:r w:rsidRPr="00EB3669">
        <w:t xml:space="preserve"> (2006) </w:t>
      </w:r>
      <w:r>
        <w:t>24(</w:t>
      </w:r>
      <w:r w:rsidRPr="00EB3669">
        <w:t>1&amp;2</w:t>
      </w:r>
      <w:r>
        <w:t>)</w:t>
      </w:r>
      <w:r w:rsidRPr="00EB3669">
        <w:t xml:space="preserve"> </w:t>
      </w:r>
      <w:r w:rsidRPr="00C144BE">
        <w:rPr>
          <w:i/>
        </w:rPr>
        <w:t>Copyright Reporter</w:t>
      </w:r>
      <w:r w:rsidRPr="00EB3669">
        <w:t xml:space="preserve"> 70-86, 77 (</w:t>
      </w:r>
      <w:r>
        <w:t xml:space="preserve">describing it as </w:t>
      </w:r>
      <w:r w:rsidRPr="00EB3669">
        <w:t>‘incoherent’ and ‘unnecessarily complex and uncertain’</w:t>
      </w:r>
      <w:r>
        <w:t>)</w:t>
      </w:r>
      <w:r w:rsidRPr="00EB3669">
        <w:t>.</w:t>
      </w:r>
      <w:r>
        <w:t xml:space="preserve"> See also Rebecca Giblin, ‘The uncertainties baby: Hidden perils of Australia’s authorisation law’ (2009) 20(3) </w:t>
      </w:r>
      <w:r>
        <w:rPr>
          <w:i/>
        </w:rPr>
        <w:t>Australian Intellectual Property Journal</w:t>
      </w:r>
      <w:r>
        <w:t xml:space="preserve"> 148-177, for a detailed analysis of the uncertainties within the doctrine. </w:t>
      </w:r>
    </w:p>
  </w:footnote>
  <w:footnote w:id="57">
    <w:p w14:paraId="230A1891" w14:textId="2719DC67" w:rsidR="00221972" w:rsidRDefault="00221972">
      <w:pPr>
        <w:pStyle w:val="FootnoteText"/>
      </w:pPr>
      <w:r>
        <w:rPr>
          <w:rStyle w:val="FootnoteReference"/>
        </w:rPr>
        <w:footnoteRef/>
      </w:r>
      <w:r>
        <w:t xml:space="preserve"> Discussion Paper, 4.</w:t>
      </w:r>
    </w:p>
  </w:footnote>
  <w:footnote w:id="58">
    <w:p w14:paraId="17154E45" w14:textId="65D524F3" w:rsidR="00221972" w:rsidRPr="0084537B" w:rsidRDefault="00221972">
      <w:pPr>
        <w:pStyle w:val="FootnoteText"/>
        <w:rPr>
          <w:lang w:val="en-US"/>
        </w:rPr>
      </w:pPr>
      <w:r>
        <w:rPr>
          <w:rStyle w:val="FootnoteReference"/>
        </w:rPr>
        <w:footnoteRef/>
      </w:r>
      <w:r>
        <w:t xml:space="preserve"> </w:t>
      </w:r>
      <w:r w:rsidRPr="0084537B">
        <w:t xml:space="preserve">International Federation of the Phonographic Industry, </w:t>
      </w:r>
      <w:r w:rsidRPr="000E4B75">
        <w:rPr>
          <w:i/>
        </w:rPr>
        <w:t>IFPI:07 Digital Music Report</w:t>
      </w:r>
      <w:r w:rsidRPr="0084537B">
        <w:t xml:space="preserve"> (2007)</w:t>
      </w:r>
      <w:r>
        <w:t>, 3</w:t>
      </w:r>
      <w:r w:rsidRPr="0084537B">
        <w:t xml:space="preserve"> </w:t>
      </w:r>
      <w:r>
        <w:t>&lt;</w:t>
      </w:r>
      <w:r w:rsidRPr="0084537B">
        <w:t>http://www.ifpi.org/content/library/digital-music-report-2007.pdf</w:t>
      </w:r>
      <w:r>
        <w:t>&gt;</w:t>
      </w:r>
      <w:r w:rsidRPr="0084537B">
        <w:t>.</w:t>
      </w:r>
    </w:p>
  </w:footnote>
  <w:footnote w:id="59">
    <w:p w14:paraId="27687526" w14:textId="6259C3C5" w:rsidR="00221972" w:rsidRPr="0084518F" w:rsidRDefault="00221972" w:rsidP="00935D77">
      <w:pPr>
        <w:pStyle w:val="FootnoteText"/>
        <w:rPr>
          <w:lang w:val="en-US"/>
        </w:rPr>
      </w:pPr>
      <w:r>
        <w:rPr>
          <w:rStyle w:val="FootnoteReference"/>
        </w:rPr>
        <w:footnoteRef/>
      </w:r>
      <w:r>
        <w:t xml:space="preserve"> </w:t>
      </w:r>
      <w:r>
        <w:rPr>
          <w:lang w:val="en-US"/>
        </w:rPr>
        <w:t xml:space="preserve">See, eg, </w:t>
      </w:r>
      <w:r w:rsidRPr="0084537B">
        <w:rPr>
          <w:lang w:val="en-US"/>
        </w:rPr>
        <w:t xml:space="preserve">Frank LaRue, </w:t>
      </w:r>
      <w:r w:rsidRPr="00C22D2D">
        <w:rPr>
          <w:i/>
          <w:lang w:val="en-US"/>
        </w:rPr>
        <w:t>Report of the Special Rapporteur on the promotion and protection of the right to freedom of opinion and expression</w:t>
      </w:r>
      <w:r w:rsidRPr="0084537B">
        <w:rPr>
          <w:lang w:val="en-US"/>
        </w:rPr>
        <w:t xml:space="preserve">, </w:t>
      </w:r>
      <w:r>
        <w:rPr>
          <w:lang w:val="en-US"/>
        </w:rPr>
        <w:t>UN GA HRC, 17</w:t>
      </w:r>
      <w:r w:rsidRPr="00C22D2D">
        <w:rPr>
          <w:vertAlign w:val="superscript"/>
          <w:lang w:val="en-US"/>
        </w:rPr>
        <w:t>th</w:t>
      </w:r>
      <w:r>
        <w:rPr>
          <w:lang w:val="en-US"/>
        </w:rPr>
        <w:t xml:space="preserve"> sess, Agenda Item 3, UN Doc A/HRC/17/27</w:t>
      </w:r>
      <w:r w:rsidRPr="0084537B">
        <w:rPr>
          <w:lang w:val="en-US"/>
        </w:rPr>
        <w:t xml:space="preserve"> (</w:t>
      </w:r>
      <w:r>
        <w:rPr>
          <w:lang w:val="en-US"/>
        </w:rPr>
        <w:t>16 May</w:t>
      </w:r>
      <w:r w:rsidRPr="0084537B">
        <w:rPr>
          <w:lang w:val="en-US"/>
        </w:rPr>
        <w:t xml:space="preserve"> 2011) </w:t>
      </w:r>
      <w:r>
        <w:rPr>
          <w:lang w:val="en-US"/>
        </w:rPr>
        <w:t>&lt;</w:t>
      </w:r>
      <w:r w:rsidRPr="0084537B">
        <w:rPr>
          <w:lang w:val="en-US"/>
        </w:rPr>
        <w:t>http://www2.ohchr.org/english/bodies/hrcouncil/docs/17session/A.HRC.17.27_en.pdf</w:t>
      </w:r>
      <w:r>
        <w:rPr>
          <w:lang w:val="en-US"/>
        </w:rPr>
        <w:t>&gt;</w:t>
      </w:r>
      <w:r w:rsidRPr="0084537B">
        <w:rPr>
          <w:lang w:val="en-US"/>
        </w:rPr>
        <w:t xml:space="preserve"> (critici</w:t>
      </w:r>
      <w:r>
        <w:rPr>
          <w:lang w:val="en-US"/>
        </w:rPr>
        <w:t>s</w:t>
      </w:r>
      <w:r w:rsidRPr="0084537B">
        <w:rPr>
          <w:lang w:val="en-US"/>
        </w:rPr>
        <w:t xml:space="preserve">ing graduated response laws that provide for disconnection of access as being </w:t>
      </w:r>
      <w:r>
        <w:rPr>
          <w:lang w:val="en-US"/>
        </w:rPr>
        <w:t>‘</w:t>
      </w:r>
      <w:r w:rsidRPr="0084537B">
        <w:rPr>
          <w:lang w:val="en-US"/>
        </w:rPr>
        <w:t>disproportionate</w:t>
      </w:r>
      <w:r>
        <w:rPr>
          <w:lang w:val="en-US"/>
        </w:rPr>
        <w:t>’</w:t>
      </w:r>
      <w:r w:rsidRPr="0084537B">
        <w:rPr>
          <w:lang w:val="en-US"/>
        </w:rPr>
        <w:t>)</w:t>
      </w:r>
      <w:r>
        <w:rPr>
          <w:lang w:val="en-US"/>
        </w:rPr>
        <w:t xml:space="preserve">; </w:t>
      </w:r>
      <w:r w:rsidRPr="00935D77">
        <w:rPr>
          <w:lang w:val="en-US"/>
        </w:rPr>
        <w:t xml:space="preserve">Ministere </w:t>
      </w:r>
      <w:r>
        <w:rPr>
          <w:lang w:val="en-US"/>
        </w:rPr>
        <w:t>d</w:t>
      </w:r>
      <w:r w:rsidRPr="00935D77">
        <w:rPr>
          <w:lang w:val="en-US"/>
        </w:rPr>
        <w:t xml:space="preserve">e </w:t>
      </w:r>
      <w:r>
        <w:rPr>
          <w:lang w:val="en-US"/>
        </w:rPr>
        <w:t>la Culture e</w:t>
      </w:r>
      <w:r w:rsidRPr="00935D77">
        <w:rPr>
          <w:lang w:val="en-US"/>
        </w:rPr>
        <w:t>t</w:t>
      </w:r>
      <w:r>
        <w:rPr>
          <w:lang w:val="en-US"/>
        </w:rPr>
        <w:t xml:space="preserve"> d</w:t>
      </w:r>
      <w:r w:rsidRPr="00935D77">
        <w:rPr>
          <w:lang w:val="en-US"/>
        </w:rPr>
        <w:t xml:space="preserve">e </w:t>
      </w:r>
      <w:r>
        <w:rPr>
          <w:lang w:val="en-US"/>
        </w:rPr>
        <w:t>l</w:t>
      </w:r>
      <w:r w:rsidRPr="00935D77">
        <w:rPr>
          <w:lang w:val="en-US"/>
        </w:rPr>
        <w:t>a Communication</w:t>
      </w:r>
      <w:r>
        <w:rPr>
          <w:lang w:val="en-US"/>
        </w:rPr>
        <w:t>,</w:t>
      </w:r>
      <w:r w:rsidRPr="00935D77">
        <w:rPr>
          <w:lang w:val="en-US"/>
        </w:rPr>
        <w:t xml:space="preserve"> </w:t>
      </w:r>
      <w:r w:rsidRPr="00566988">
        <w:rPr>
          <w:i/>
          <w:lang w:val="en-US"/>
        </w:rPr>
        <w:t>Publication du décret supprimant la peine complémentaire de la suspension d’accès à Internet</w:t>
      </w:r>
      <w:r>
        <w:rPr>
          <w:lang w:val="en-US"/>
        </w:rPr>
        <w:t xml:space="preserve"> (</w:t>
      </w:r>
      <w:r w:rsidRPr="008E4493">
        <w:rPr>
          <w:i/>
          <w:lang w:val="en-US"/>
        </w:rPr>
        <w:t>Publication o</w:t>
      </w:r>
      <w:r>
        <w:rPr>
          <w:i/>
          <w:lang w:val="en-US"/>
        </w:rPr>
        <w:t>f</w:t>
      </w:r>
      <w:r w:rsidRPr="00566988">
        <w:rPr>
          <w:i/>
          <w:lang w:val="en-US"/>
        </w:rPr>
        <w:t xml:space="preserve"> the decree abolishing the additional penalty of suspension of access to the Internet</w:t>
      </w:r>
      <w:r>
        <w:rPr>
          <w:lang w:val="en-US"/>
        </w:rPr>
        <w:t>)</w:t>
      </w:r>
      <w:r w:rsidRPr="0084537B">
        <w:rPr>
          <w:lang w:val="en-US"/>
        </w:rPr>
        <w:t xml:space="preserve">, (9 July 2013) </w:t>
      </w:r>
      <w:r>
        <w:rPr>
          <w:lang w:val="en-US"/>
        </w:rPr>
        <w:t>&lt;http://w</w:t>
      </w:r>
      <w:r w:rsidRPr="0084537B">
        <w:rPr>
          <w:lang w:val="en-US"/>
        </w:rPr>
        <w:t>ww.culturecommunication.gouv.fr/content/download/72701/555642/file/130709_MCC%20-%20cp%20suspension%20d%27acc%C3%A8s%20%C3</w:t>
      </w:r>
      <w:r>
        <w:rPr>
          <w:lang w:val="en-US"/>
        </w:rPr>
        <w:t xml:space="preserve">%A0%20internet.pdf&gt; (press release of the French Ministry of Culture and Communication, announcing that the repeal of provisions relating to internet access termination for copyright infringement, on the grounds that </w:t>
      </w:r>
      <w:r w:rsidRPr="0084518F">
        <w:rPr>
          <w:lang w:val="en-US"/>
        </w:rPr>
        <w:t>it was no longer seen as an appropriate remedy).</w:t>
      </w:r>
    </w:p>
  </w:footnote>
  <w:footnote w:id="60">
    <w:p w14:paraId="6D63029A" w14:textId="28B845C4" w:rsidR="00221972" w:rsidRPr="00F565EC" w:rsidRDefault="00221972">
      <w:pPr>
        <w:pStyle w:val="FootnoteText"/>
        <w:rPr>
          <w:lang w:val="en-US"/>
        </w:rPr>
      </w:pPr>
      <w:r w:rsidRPr="0084518F">
        <w:rPr>
          <w:rStyle w:val="FootnoteReference"/>
        </w:rPr>
        <w:footnoteRef/>
      </w:r>
      <w:r w:rsidRPr="0084518F">
        <w:t xml:space="preserve"> IFPI, </w:t>
      </w:r>
      <w:r w:rsidRPr="0084518F">
        <w:rPr>
          <w:i/>
        </w:rPr>
        <w:t xml:space="preserve">ISPs – </w:t>
      </w:r>
      <w:r w:rsidRPr="00F565EC">
        <w:rPr>
          <w:i/>
        </w:rPr>
        <w:t>Technical Options for addressing online copyright infringement</w:t>
      </w:r>
      <w:r w:rsidRPr="00F565EC">
        <w:t xml:space="preserve"> &lt;http://</w:t>
      </w:r>
      <w:hyperlink r:id="rId14" w:history="1">
        <w:r w:rsidRPr="00F565EC">
          <w:rPr>
            <w:rStyle w:val="Hyperlink"/>
            <w:color w:val="auto"/>
            <w:u w:val="none"/>
          </w:rPr>
          <w:t>www.eff.org/files/filenode/effeurope/ifpi_filtering_memo.pdf</w:t>
        </w:r>
      </w:hyperlink>
      <w:r w:rsidRPr="00F565EC">
        <w:rPr>
          <w:rStyle w:val="Hyperlink"/>
          <w:color w:val="auto"/>
          <w:u w:val="none"/>
        </w:rPr>
        <w:t>&gt;</w:t>
      </w:r>
      <w:r w:rsidRPr="00F565EC">
        <w:t>, 1.</w:t>
      </w:r>
    </w:p>
  </w:footnote>
  <w:footnote w:id="61">
    <w:p w14:paraId="0A67B8F2" w14:textId="681BC532" w:rsidR="00221972" w:rsidRPr="00F44BB2" w:rsidRDefault="00221972" w:rsidP="0084537B">
      <w:pPr>
        <w:pStyle w:val="FootnoteText"/>
        <w:rPr>
          <w:lang w:val="fr-FR"/>
        </w:rPr>
      </w:pPr>
      <w:r>
        <w:rPr>
          <w:rStyle w:val="FootnoteReference"/>
        </w:rPr>
        <w:footnoteRef/>
      </w:r>
      <w:r w:rsidRPr="00F44BB2">
        <w:rPr>
          <w:lang w:val="fr-FR"/>
        </w:rPr>
        <w:t xml:space="preserve"> Ibid; </w:t>
      </w:r>
      <w:r w:rsidRPr="00F44BB2">
        <w:rPr>
          <w:i/>
          <w:lang w:val="fr-FR"/>
        </w:rPr>
        <w:t>Scarlet Extended SA v Societe belge des auteurs, compositeurs et editeurs SCRL (SABAM)</w:t>
      </w:r>
      <w:r w:rsidRPr="00F44BB2">
        <w:rPr>
          <w:lang w:val="fr-FR"/>
        </w:rPr>
        <w:t xml:space="preserve"> (C-70/10), EU:C:2011:771.</w:t>
      </w:r>
    </w:p>
  </w:footnote>
  <w:footnote w:id="62">
    <w:p w14:paraId="482EDE13" w14:textId="346E471B" w:rsidR="00221972" w:rsidRPr="00AC5D96" w:rsidRDefault="00221972">
      <w:pPr>
        <w:pStyle w:val="FootnoteText"/>
        <w:rPr>
          <w:lang w:val="en-US"/>
        </w:rPr>
      </w:pPr>
      <w:r>
        <w:rPr>
          <w:rStyle w:val="FootnoteReference"/>
        </w:rPr>
        <w:footnoteRef/>
      </w:r>
      <w:r>
        <w:t xml:space="preserve"> </w:t>
      </w:r>
      <w:r>
        <w:rPr>
          <w:lang w:val="en-US"/>
        </w:rPr>
        <w:t>Discussion Paper, 7.</w:t>
      </w:r>
    </w:p>
  </w:footnote>
  <w:footnote w:id="63">
    <w:p w14:paraId="490A67A7" w14:textId="7C58C062" w:rsidR="00221972" w:rsidRPr="009644DD" w:rsidRDefault="00221972">
      <w:pPr>
        <w:pStyle w:val="FootnoteText"/>
        <w:rPr>
          <w:lang w:val="en-US"/>
        </w:rPr>
      </w:pPr>
      <w:r>
        <w:rPr>
          <w:rStyle w:val="FootnoteReference"/>
        </w:rPr>
        <w:footnoteRef/>
      </w:r>
      <w:r>
        <w:t xml:space="preserve"> </w:t>
      </w:r>
      <w:r w:rsidRPr="005164AF">
        <w:rPr>
          <w:i/>
          <w:lang w:val="en-US"/>
        </w:rPr>
        <w:t>Copyright Act</w:t>
      </w:r>
      <w:r>
        <w:rPr>
          <w:lang w:val="en-US"/>
        </w:rPr>
        <w:t>, ss 116AE, 116AH(1), Items 1, 4.</w:t>
      </w:r>
    </w:p>
  </w:footnote>
  <w:footnote w:id="64">
    <w:p w14:paraId="2F3748F6" w14:textId="73D962EA" w:rsidR="00221972" w:rsidRPr="00687051" w:rsidRDefault="00221972">
      <w:pPr>
        <w:pStyle w:val="FootnoteText"/>
        <w:rPr>
          <w:lang w:val="en-US"/>
        </w:rPr>
      </w:pPr>
      <w:r>
        <w:rPr>
          <w:rStyle w:val="FootnoteReference"/>
        </w:rPr>
        <w:footnoteRef/>
      </w:r>
      <w:r>
        <w:t xml:space="preserve"> </w:t>
      </w:r>
      <w:r w:rsidRPr="005164AF">
        <w:rPr>
          <w:i/>
        </w:rPr>
        <w:t>Copyright Act</w:t>
      </w:r>
      <w:r>
        <w:t xml:space="preserve">, s </w:t>
      </w:r>
      <w:r>
        <w:rPr>
          <w:lang w:val="en-US"/>
        </w:rPr>
        <w:t>116AH(1), Item 1.</w:t>
      </w:r>
    </w:p>
  </w:footnote>
  <w:footnote w:id="65">
    <w:p w14:paraId="33DC3357" w14:textId="16F23B46" w:rsidR="00221972" w:rsidRDefault="00221972">
      <w:pPr>
        <w:pStyle w:val="FootnoteText"/>
      </w:pPr>
      <w:r>
        <w:rPr>
          <w:rStyle w:val="FootnoteReference"/>
        </w:rPr>
        <w:footnoteRef/>
      </w:r>
      <w:r>
        <w:t xml:space="preserve"> Discussion Paper, 4.</w:t>
      </w:r>
    </w:p>
  </w:footnote>
  <w:footnote w:id="66">
    <w:p w14:paraId="31134159" w14:textId="12D2E2DF" w:rsidR="00221972" w:rsidRPr="0006184B" w:rsidRDefault="00221972" w:rsidP="00486ADF">
      <w:pPr>
        <w:pStyle w:val="FootnoteText"/>
        <w:rPr>
          <w:lang w:val="en-US"/>
        </w:rPr>
      </w:pPr>
      <w:r>
        <w:rPr>
          <w:rStyle w:val="FootnoteReference"/>
        </w:rPr>
        <w:footnoteRef/>
      </w:r>
      <w:r>
        <w:t xml:space="preserve"> </w:t>
      </w:r>
      <w:r w:rsidRPr="00B247A7">
        <w:rPr>
          <w:i/>
          <w:lang w:val="en-US"/>
        </w:rPr>
        <w:t>Roadshow Films Pty Ltd v iiNet Ltd</w:t>
      </w:r>
      <w:r>
        <w:rPr>
          <w:lang w:val="en-US"/>
        </w:rPr>
        <w:t xml:space="preserve"> (2011) 194 FCR 285, 343-347 [258]-[272] (Emmett J), 404-407 [516]-[526] (Jagot J), 464-465 [803]-[806] (Nicholas J). </w:t>
      </w:r>
    </w:p>
  </w:footnote>
  <w:footnote w:id="67">
    <w:p w14:paraId="37FA0E02" w14:textId="3DBD487C" w:rsidR="00221972" w:rsidRPr="00DF3799" w:rsidRDefault="00221972" w:rsidP="00964097">
      <w:pPr>
        <w:pStyle w:val="FootnoteText"/>
        <w:rPr>
          <w:lang w:val="en-US"/>
        </w:rPr>
      </w:pPr>
      <w:r w:rsidRPr="00DF3799">
        <w:rPr>
          <w:lang w:val="en-US"/>
        </w:rPr>
        <w:footnoteRef/>
      </w:r>
      <w:r w:rsidRPr="00DF3799">
        <w:rPr>
          <w:lang w:val="en-US"/>
        </w:rPr>
        <w:t xml:space="preserve"> </w:t>
      </w:r>
      <w:r>
        <w:rPr>
          <w:lang w:val="en-US"/>
        </w:rPr>
        <w:t xml:space="preserve">Recording Industry Association of New Zealand and Independent Music New Zealand, Submission to the Ministry of Economic Development, </w:t>
      </w:r>
      <w:r w:rsidRPr="00DF3799">
        <w:rPr>
          <w:i/>
          <w:lang w:val="en-US"/>
        </w:rPr>
        <w:t>Copyright (Infringing File Sharing) Regulations – Fee Review</w:t>
      </w:r>
      <w:r w:rsidRPr="00DF3799">
        <w:rPr>
          <w:lang w:val="en-US"/>
        </w:rPr>
        <w:t xml:space="preserve"> (</w:t>
      </w:r>
      <w:r>
        <w:rPr>
          <w:lang w:val="en-US"/>
        </w:rPr>
        <w:t>30 April</w:t>
      </w:r>
      <w:r w:rsidRPr="00DF3799">
        <w:rPr>
          <w:lang w:val="en-US"/>
        </w:rPr>
        <w:t xml:space="preserve"> 2012)</w:t>
      </w:r>
      <w:r>
        <w:rPr>
          <w:lang w:val="en-US"/>
        </w:rPr>
        <w:t>, 6-7</w:t>
      </w:r>
      <w:r w:rsidRPr="00DF3799">
        <w:rPr>
          <w:lang w:val="en-US"/>
        </w:rPr>
        <w:t xml:space="preserve"> </w:t>
      </w:r>
      <w:r>
        <w:rPr>
          <w:lang w:val="en-US"/>
        </w:rPr>
        <w:t>&lt;</w:t>
      </w:r>
      <w:r w:rsidRPr="00DF3799">
        <w:rPr>
          <w:lang w:val="en-US"/>
        </w:rPr>
        <w:t>www.med.govt.nz/business/intellectual-property/pdf-docs-library/copyright/notice-process/illegal-peer-to-peer-file-sharing-submissions-on-fee-review-discussion/rianz.pdf</w:t>
      </w:r>
      <w:r>
        <w:rPr>
          <w:lang w:val="en-US"/>
        </w:rPr>
        <w:t>&gt;</w:t>
      </w:r>
      <w:r w:rsidRPr="00DF3799">
        <w:rPr>
          <w:lang w:val="en-US"/>
        </w:rPr>
        <w:t>.</w:t>
      </w:r>
    </w:p>
  </w:footnote>
  <w:footnote w:id="68">
    <w:p w14:paraId="252DCCB2" w14:textId="77704AA2" w:rsidR="00221972" w:rsidRPr="00DF3799" w:rsidRDefault="00221972" w:rsidP="0085225F">
      <w:pPr>
        <w:pStyle w:val="FootnoteText"/>
        <w:rPr>
          <w:lang w:val="en-US"/>
        </w:rPr>
      </w:pPr>
      <w:r w:rsidRPr="00DF3799">
        <w:rPr>
          <w:lang w:val="en-US"/>
        </w:rPr>
        <w:footnoteRef/>
      </w:r>
      <w:r w:rsidRPr="00DF3799">
        <w:rPr>
          <w:lang w:val="en-US"/>
        </w:rPr>
        <w:t xml:space="preserve"> New Zealand Federation Against Copyright Theft, </w:t>
      </w:r>
      <w:r>
        <w:rPr>
          <w:lang w:val="en-US"/>
        </w:rPr>
        <w:t xml:space="preserve">Submission to the Ministry of Economic Development, </w:t>
      </w:r>
      <w:r w:rsidRPr="00C9055D">
        <w:rPr>
          <w:i/>
          <w:lang w:val="en-US"/>
        </w:rPr>
        <w:t>Copyright (Infringing File Sharing) Regulations – Fee Review</w:t>
      </w:r>
      <w:r w:rsidRPr="00DF3799">
        <w:rPr>
          <w:lang w:val="en-US"/>
        </w:rPr>
        <w:t xml:space="preserve"> (</w:t>
      </w:r>
      <w:r>
        <w:rPr>
          <w:lang w:val="en-US"/>
        </w:rPr>
        <w:t xml:space="preserve">1 May </w:t>
      </w:r>
      <w:r w:rsidRPr="00DF3799">
        <w:rPr>
          <w:lang w:val="en-US"/>
        </w:rPr>
        <w:t>2012)</w:t>
      </w:r>
      <w:r>
        <w:rPr>
          <w:lang w:val="en-US"/>
        </w:rPr>
        <w:t>, 2-4</w:t>
      </w:r>
      <w:r w:rsidRPr="00DF3799">
        <w:rPr>
          <w:lang w:val="en-US"/>
        </w:rPr>
        <w:t xml:space="preserve"> </w:t>
      </w:r>
      <w:r>
        <w:rPr>
          <w:lang w:val="en-US"/>
        </w:rPr>
        <w:t>&lt;</w:t>
      </w:r>
      <w:r w:rsidRPr="00DF3799">
        <w:rPr>
          <w:lang w:val="en-US"/>
        </w:rPr>
        <w:t>www.med.govt.nz/business/intellectual-property/pdf-docs-library/copyright/notice-process/illegal-peer-to-peer-file-sharing-submissions-on-fee-review-discussion/nzfact.pdf</w:t>
      </w:r>
      <w:r>
        <w:rPr>
          <w:lang w:val="en-US"/>
        </w:rPr>
        <w:t>&gt;</w:t>
      </w:r>
      <w:r w:rsidRPr="00DF3799">
        <w:rPr>
          <w:lang w:val="en-US"/>
        </w:rPr>
        <w:t xml:space="preserve">. </w:t>
      </w:r>
    </w:p>
  </w:footnote>
  <w:footnote w:id="69">
    <w:p w14:paraId="76F6D04B" w14:textId="29EC302C" w:rsidR="00221972" w:rsidRPr="00F77B13" w:rsidRDefault="00221972" w:rsidP="004D590B">
      <w:pPr>
        <w:pStyle w:val="FootnoteText"/>
        <w:rPr>
          <w:lang w:val="en-US"/>
        </w:rPr>
      </w:pPr>
      <w:r>
        <w:rPr>
          <w:rStyle w:val="FootnoteReference"/>
        </w:rPr>
        <w:footnoteRef/>
      </w:r>
      <w:r>
        <w:t xml:space="preserve"> </w:t>
      </w:r>
      <w:r>
        <w:rPr>
          <w:lang w:val="en-US"/>
        </w:rPr>
        <w:t>Discussion Paper, 3.</w:t>
      </w:r>
    </w:p>
  </w:footnote>
  <w:footnote w:id="70">
    <w:p w14:paraId="75A1BFA9" w14:textId="3C458FEB" w:rsidR="00221972" w:rsidRPr="00F565EC" w:rsidRDefault="00221972" w:rsidP="003D3989">
      <w:pPr>
        <w:pStyle w:val="FootnoteText"/>
        <w:rPr>
          <w:lang w:val="en-US"/>
        </w:rPr>
      </w:pPr>
      <w:r>
        <w:rPr>
          <w:rStyle w:val="FootnoteReference"/>
        </w:rPr>
        <w:footnoteRef/>
      </w:r>
      <w:r>
        <w:t xml:space="preserve"> </w:t>
      </w:r>
      <w:r>
        <w:rPr>
          <w:lang w:val="en-US"/>
        </w:rPr>
        <w:t xml:space="preserve">Kimberlee Weatherall, Submission to the </w:t>
      </w:r>
      <w:r w:rsidRPr="0084518F">
        <w:rPr>
          <w:lang w:val="en-US"/>
        </w:rPr>
        <w:t xml:space="preserve">Joint Standing Committee on Treaties/Senate Standing Committee on Foreign Affairs, Defence and Trade References, </w:t>
      </w:r>
      <w:r w:rsidRPr="0084518F">
        <w:rPr>
          <w:i/>
          <w:lang w:val="en-US"/>
        </w:rPr>
        <w:t>Korea-Australia Free Trade Agreement</w:t>
      </w:r>
      <w:r w:rsidRPr="0084518F">
        <w:rPr>
          <w:lang w:val="en-US"/>
        </w:rPr>
        <w:t xml:space="preserve"> (13 June 2014), 8-11 </w:t>
      </w:r>
      <w:r w:rsidRPr="00F565EC">
        <w:rPr>
          <w:lang w:val="en-US"/>
        </w:rPr>
        <w:t>&lt;</w:t>
      </w:r>
      <w:hyperlink r:id="rId15" w:history="1">
        <w:r w:rsidRPr="00F565EC">
          <w:rPr>
            <w:rStyle w:val="Hyperlink"/>
            <w:color w:val="auto"/>
            <w:u w:val="none"/>
            <w:lang w:val="en-US"/>
          </w:rPr>
          <w:t>http://works.bepress.com/kimweatherall/29/</w:t>
        </w:r>
      </w:hyperlink>
      <w:r w:rsidRPr="00F565EC">
        <w:rPr>
          <w:lang w:val="en-US"/>
        </w:rPr>
        <w:t xml:space="preserve">&gt;. </w:t>
      </w:r>
    </w:p>
  </w:footnote>
  <w:footnote w:id="71">
    <w:p w14:paraId="59429E52" w14:textId="53B5CBE6" w:rsidR="00221972" w:rsidRPr="00BC24A6" w:rsidRDefault="00221972" w:rsidP="004D590B">
      <w:pPr>
        <w:pStyle w:val="FootnoteText"/>
        <w:rPr>
          <w:lang w:val="en-US"/>
        </w:rPr>
      </w:pPr>
      <w:r>
        <w:rPr>
          <w:rStyle w:val="FootnoteReference"/>
        </w:rPr>
        <w:footnoteRef/>
      </w:r>
      <w:r>
        <w:t xml:space="preserve"> </w:t>
      </w:r>
      <w:r w:rsidRPr="00C9055D">
        <w:rPr>
          <w:i/>
        </w:rPr>
        <w:t>CBS Songs Ltd v Amstrad Consumer Electronics plc</w:t>
      </w:r>
      <w:r>
        <w:t xml:space="preserve"> [1988] AC 1013, 1054 (Lord Templeman, with whom the other members of the House of Lords agreed) (‘</w:t>
      </w:r>
      <w:r w:rsidRPr="00C9055D">
        <w:rPr>
          <w:i/>
        </w:rPr>
        <w:t>CBS v Amstrad</w:t>
      </w:r>
      <w:r>
        <w:t xml:space="preserve">’), approving </w:t>
      </w:r>
      <w:r w:rsidRPr="00C9055D">
        <w:rPr>
          <w:i/>
        </w:rPr>
        <w:t>Falcon v Famous Players Film Company</w:t>
      </w:r>
      <w:r w:rsidRPr="00BC24A6">
        <w:t xml:space="preserve"> [1926] 2 KB 474</w:t>
      </w:r>
      <w:r>
        <w:t>, 499 (Atkin LJ)</w:t>
      </w:r>
      <w:r w:rsidRPr="00BC24A6">
        <w:t>.</w:t>
      </w:r>
      <w:r>
        <w:t xml:space="preserve"> See also </w:t>
      </w:r>
      <w:r w:rsidRPr="00BC24A6">
        <w:t>Kevin Garnett</w:t>
      </w:r>
      <w:r>
        <w:t xml:space="preserve"> et al</w:t>
      </w:r>
      <w:r w:rsidRPr="00BC24A6">
        <w:t xml:space="preserve">, </w:t>
      </w:r>
      <w:r w:rsidRPr="00C9055D">
        <w:rPr>
          <w:i/>
        </w:rPr>
        <w:t>Copinger and Skone James on Copyright</w:t>
      </w:r>
      <w:r w:rsidRPr="00BC24A6">
        <w:t xml:space="preserve"> (</w:t>
      </w:r>
      <w:r>
        <w:t>15</w:t>
      </w:r>
      <w:r w:rsidRPr="00BC24A6">
        <w:t>th ed, Sweet &amp; Maxwell, London, 2005)</w:t>
      </w:r>
      <w:r>
        <w:t>,</w:t>
      </w:r>
      <w:r w:rsidRPr="00BC24A6">
        <w:t xml:space="preserve"> 450 </w:t>
      </w:r>
      <w:r>
        <w:t>[</w:t>
      </w:r>
      <w:r w:rsidRPr="00BC24A6">
        <w:t>7-132</w:t>
      </w:r>
      <w:r>
        <w:t>]</w:t>
      </w:r>
      <w:r w:rsidRPr="00BC24A6">
        <w:t>.</w:t>
      </w:r>
    </w:p>
  </w:footnote>
  <w:footnote w:id="72">
    <w:p w14:paraId="6BC0873A" w14:textId="68A87072" w:rsidR="00221972" w:rsidRPr="00BC24A6" w:rsidRDefault="00221972" w:rsidP="004D590B">
      <w:pPr>
        <w:pStyle w:val="FootnoteText"/>
        <w:rPr>
          <w:lang w:val="en-US"/>
        </w:rPr>
      </w:pPr>
      <w:r>
        <w:rPr>
          <w:rStyle w:val="FootnoteReference"/>
        </w:rPr>
        <w:footnoteRef/>
      </w:r>
      <w:r>
        <w:t xml:space="preserve"> </w:t>
      </w:r>
      <w:r w:rsidRPr="0088286B">
        <w:rPr>
          <w:i/>
        </w:rPr>
        <w:t>CBS v Amstrad</w:t>
      </w:r>
      <w:r>
        <w:t>, 1054.</w:t>
      </w:r>
    </w:p>
  </w:footnote>
  <w:footnote w:id="73">
    <w:p w14:paraId="5410BB4C" w14:textId="3BC4070D" w:rsidR="00221972" w:rsidRPr="00B40058" w:rsidRDefault="00221972" w:rsidP="004D590B">
      <w:pPr>
        <w:pStyle w:val="FootnoteText"/>
        <w:rPr>
          <w:lang w:val="en-US"/>
        </w:rPr>
      </w:pPr>
      <w:r>
        <w:rPr>
          <w:rStyle w:val="FootnoteReference"/>
        </w:rPr>
        <w:footnoteRef/>
      </w:r>
      <w:r>
        <w:t xml:space="preserve"> </w:t>
      </w:r>
      <w:r w:rsidRPr="006A7C8D">
        <w:t>Christina Angelopolous</w:t>
      </w:r>
      <w:r>
        <w:t>,</w:t>
      </w:r>
      <w:r w:rsidRPr="006A7C8D">
        <w:t xml:space="preserve"> </w:t>
      </w:r>
      <w:r>
        <w:t>‘</w:t>
      </w:r>
      <w:r w:rsidRPr="006A7C8D">
        <w:t>Beyond the Safe Harbours</w:t>
      </w:r>
      <w:r>
        <w:t xml:space="preserve">: Harmonising Substantive Intermediary Liability for Copyright Infringement in Europe’ [2013] 3 </w:t>
      </w:r>
      <w:r w:rsidRPr="0088286B">
        <w:rPr>
          <w:i/>
        </w:rPr>
        <w:t>Intellectual Property Quarterly</w:t>
      </w:r>
      <w:r>
        <w:t xml:space="preserve"> 253-274, 256-257.</w:t>
      </w:r>
    </w:p>
  </w:footnote>
  <w:footnote w:id="74">
    <w:p w14:paraId="20EE3CEF" w14:textId="262B2F06" w:rsidR="00221972" w:rsidRPr="006A7C8D" w:rsidRDefault="00221972" w:rsidP="00C7070A">
      <w:pPr>
        <w:pStyle w:val="FootnoteText"/>
        <w:rPr>
          <w:lang w:val="en-US"/>
        </w:rPr>
      </w:pPr>
      <w:r>
        <w:rPr>
          <w:rStyle w:val="FootnoteReference"/>
        </w:rPr>
        <w:footnoteRef/>
      </w:r>
      <w:r>
        <w:t xml:space="preserve"> S</w:t>
      </w:r>
      <w:r w:rsidRPr="006A7C8D">
        <w:t>ome lower courts have more recently sought to read the law more broadly to capture blameworthy defendants in circumstances where there is no grant or purported gr</w:t>
      </w:r>
      <w:r>
        <w:t>ant to do the act complained of</w:t>
      </w:r>
      <w:r w:rsidRPr="006A7C8D">
        <w:t xml:space="preserve"> – see</w:t>
      </w:r>
      <w:r>
        <w:t>, eg,</w:t>
      </w:r>
      <w:r w:rsidRPr="006A7C8D">
        <w:t xml:space="preserve"> </w:t>
      </w:r>
      <w:r w:rsidRPr="0088286B">
        <w:rPr>
          <w:i/>
        </w:rPr>
        <w:t>Twentieth Century Fox Film Corporation v Newzbin Ltd</w:t>
      </w:r>
      <w:r w:rsidRPr="006A7C8D">
        <w:t xml:space="preserve"> [2010] EWHC 608 (Ch)</w:t>
      </w:r>
      <w:r>
        <w:t xml:space="preserve"> and</w:t>
      </w:r>
      <w:r w:rsidRPr="006A7C8D">
        <w:t xml:space="preserve"> </w:t>
      </w:r>
      <w:r w:rsidRPr="0088286B">
        <w:rPr>
          <w:i/>
        </w:rPr>
        <w:t>Dramatico Entertainment Ltd &amp; Ors v British Sky Broadcasting Ltd</w:t>
      </w:r>
      <w:r w:rsidRPr="006A7C8D">
        <w:t xml:space="preserve"> [2012] EWHC 268 (Ch). </w:t>
      </w:r>
      <w:r>
        <w:t xml:space="preserve">These examples appear to be contrary to existing precedent. </w:t>
      </w:r>
      <w:r w:rsidRPr="006A7C8D">
        <w:t xml:space="preserve">See discussion in </w:t>
      </w:r>
      <w:r w:rsidRPr="00C7070A">
        <w:t xml:space="preserve">Christina Angelopolous, ‘Beyond the Safe Harbours: Harmonising Substantive Intermediary Liability for Copyright Infringement in Europe’ [2013] 3 </w:t>
      </w:r>
      <w:r w:rsidRPr="00C7070A">
        <w:rPr>
          <w:i/>
        </w:rPr>
        <w:t>Intellectual Property Quarterly</w:t>
      </w:r>
      <w:r w:rsidRPr="00C7070A">
        <w:t xml:space="preserve"> 253-274, 256-257</w:t>
      </w:r>
      <w:r>
        <w:t>.</w:t>
      </w:r>
    </w:p>
  </w:footnote>
  <w:footnote w:id="75">
    <w:p w14:paraId="649BEACD" w14:textId="4D042C7A" w:rsidR="00221972" w:rsidRDefault="00221972">
      <w:pPr>
        <w:pStyle w:val="FootnoteText"/>
      </w:pPr>
      <w:r>
        <w:rPr>
          <w:rStyle w:val="FootnoteReference"/>
        </w:rPr>
        <w:footnoteRef/>
      </w:r>
      <w:r>
        <w:t xml:space="preserve"> </w:t>
      </w:r>
      <w:r w:rsidRPr="0088286B">
        <w:t>[2004] 1 SCR 339</w:t>
      </w:r>
      <w:r>
        <w:t>.</w:t>
      </w:r>
    </w:p>
  </w:footnote>
  <w:footnote w:id="76">
    <w:p w14:paraId="6EA46CFF" w14:textId="69DDDEE9" w:rsidR="00221972" w:rsidRPr="008C2A6C" w:rsidRDefault="00221972" w:rsidP="004D590B">
      <w:pPr>
        <w:pStyle w:val="FootnoteText"/>
        <w:rPr>
          <w:lang w:val="en-US"/>
        </w:rPr>
      </w:pPr>
      <w:r>
        <w:rPr>
          <w:rStyle w:val="FootnoteReference"/>
        </w:rPr>
        <w:footnoteRef/>
      </w:r>
      <w:r>
        <w:t xml:space="preserve"> Ibid, 363-364 [45].  </w:t>
      </w:r>
    </w:p>
  </w:footnote>
  <w:footnote w:id="77">
    <w:p w14:paraId="34F65A1D" w14:textId="24681DA8" w:rsidR="00221972" w:rsidRPr="006D3410" w:rsidRDefault="00221972">
      <w:pPr>
        <w:pStyle w:val="FootnoteText"/>
        <w:rPr>
          <w:lang w:val="en-US"/>
        </w:rPr>
      </w:pPr>
      <w:r>
        <w:rPr>
          <w:rStyle w:val="FootnoteReference"/>
        </w:rPr>
        <w:footnoteRef/>
      </w:r>
      <w:r>
        <w:t xml:space="preserve"> Ibid, 362</w:t>
      </w:r>
      <w:r w:rsidRPr="0013373F">
        <w:t xml:space="preserve"> [41].</w:t>
      </w:r>
    </w:p>
  </w:footnote>
  <w:footnote w:id="78">
    <w:p w14:paraId="69EBDE87" w14:textId="494671E6" w:rsidR="00221972" w:rsidRPr="006D3410" w:rsidRDefault="00221972" w:rsidP="006D3410">
      <w:pPr>
        <w:pStyle w:val="FootnoteText"/>
        <w:rPr>
          <w:lang w:val="en-US"/>
        </w:rPr>
      </w:pPr>
      <w:r>
        <w:rPr>
          <w:rStyle w:val="FootnoteReference"/>
        </w:rPr>
        <w:footnoteRef/>
      </w:r>
      <w:r>
        <w:t xml:space="preserve"> </w:t>
      </w:r>
      <w:r>
        <w:rPr>
          <w:lang w:val="en-US"/>
        </w:rPr>
        <w:t xml:space="preserve">See discussion in Susy Frankel, </w:t>
      </w:r>
      <w:r>
        <w:rPr>
          <w:i/>
          <w:lang w:val="en-US"/>
        </w:rPr>
        <w:t xml:space="preserve">Intellectual Property in New </w:t>
      </w:r>
      <w:r w:rsidRPr="006D3410">
        <w:rPr>
          <w:i/>
          <w:lang w:val="en-US"/>
        </w:rPr>
        <w:t>Zealand</w:t>
      </w:r>
      <w:r>
        <w:rPr>
          <w:lang w:val="en-US"/>
        </w:rPr>
        <w:t xml:space="preserve"> (LexisNexis, 2</w:t>
      </w:r>
      <w:r w:rsidRPr="006D3410">
        <w:rPr>
          <w:vertAlign w:val="superscript"/>
          <w:lang w:val="en-US"/>
        </w:rPr>
        <w:t>nd</w:t>
      </w:r>
      <w:r>
        <w:rPr>
          <w:lang w:val="en-US"/>
        </w:rPr>
        <w:t xml:space="preserve"> ed, 2011), </w:t>
      </w:r>
      <w:r w:rsidRPr="006D3410">
        <w:rPr>
          <w:lang w:val="en-US"/>
        </w:rPr>
        <w:t>282</w:t>
      </w:r>
      <w:r>
        <w:rPr>
          <w:lang w:val="en-US"/>
        </w:rPr>
        <w:t>-287</w:t>
      </w:r>
    </w:p>
  </w:footnote>
  <w:footnote w:id="79">
    <w:p w14:paraId="18C4D2A3" w14:textId="6209290C" w:rsidR="00221972" w:rsidRPr="00070583" w:rsidRDefault="00221972" w:rsidP="004D590B">
      <w:pPr>
        <w:pStyle w:val="FootnoteText"/>
      </w:pPr>
      <w:r w:rsidRPr="00070583">
        <w:rPr>
          <w:rStyle w:val="FootnoteReference"/>
        </w:rPr>
        <w:footnoteRef/>
      </w:r>
      <w:r w:rsidRPr="00070583">
        <w:t xml:space="preserve"> </w:t>
      </w:r>
      <w:hyperlink r:id="rId16" w:history="1">
        <w:r>
          <w:t>Gershwin Publishin</w:t>
        </w:r>
        <w:r w:rsidRPr="00B635F8">
          <w:t>g Corp</w:t>
        </w:r>
      </w:hyperlink>
      <w:r w:rsidRPr="00070583">
        <w:t xml:space="preserve"> v</w:t>
      </w:r>
      <w:r>
        <w:t xml:space="preserve"> Columbia Artists Management</w:t>
      </w:r>
      <w:r w:rsidRPr="00070583">
        <w:t>, Inc, 443 F</w:t>
      </w:r>
      <w:r>
        <w:t xml:space="preserve"> </w:t>
      </w:r>
      <w:r w:rsidRPr="00070583">
        <w:t>2d 1159, 1162 (2d Cir 1971).</w:t>
      </w:r>
    </w:p>
  </w:footnote>
  <w:footnote w:id="80">
    <w:p w14:paraId="51D178C7" w14:textId="14CB03C1" w:rsidR="00221972" w:rsidRPr="00070583" w:rsidRDefault="00221972" w:rsidP="004D590B">
      <w:pPr>
        <w:pStyle w:val="FootnoteText"/>
        <w:rPr>
          <w:highlight w:val="green"/>
        </w:rPr>
      </w:pPr>
      <w:r w:rsidRPr="00070583">
        <w:rPr>
          <w:rStyle w:val="FootnoteReference"/>
        </w:rPr>
        <w:footnoteRef/>
      </w:r>
      <w:r w:rsidRPr="00070583">
        <w:t xml:space="preserve"> </w:t>
      </w:r>
      <w:r>
        <w:t>Ibid,</w:t>
      </w:r>
      <w:r w:rsidRPr="00070583">
        <w:t xml:space="preserve"> </w:t>
      </w:r>
      <w:r w:rsidRPr="00B635F8">
        <w:t>cited with approval in</w:t>
      </w:r>
      <w:r w:rsidRPr="00070583">
        <w:t xml:space="preserve"> </w:t>
      </w:r>
      <w:hyperlink r:id="rId17" w:history="1">
        <w:r w:rsidRPr="00F8430D">
          <w:rPr>
            <w:i/>
          </w:rPr>
          <w:t>Sony Corp</w:t>
        </w:r>
      </w:hyperlink>
      <w:r w:rsidRPr="00F8430D">
        <w:rPr>
          <w:i/>
        </w:rPr>
        <w:t>oration of America v Universal City Studios, Inc</w:t>
      </w:r>
      <w:r w:rsidRPr="00070583">
        <w:t xml:space="preserve">, 464 US 417, 487 (1984); </w:t>
      </w:r>
      <w:r w:rsidRPr="00E7669E">
        <w:rPr>
          <w:i/>
        </w:rPr>
        <w:t xml:space="preserve">Metro-Goldwyn-Mayer Studios Inc v </w:t>
      </w:r>
      <w:hyperlink r:id="rId18" w:history="1">
        <w:r w:rsidRPr="00E7669E">
          <w:rPr>
            <w:i/>
          </w:rPr>
          <w:t>Grokster</w:t>
        </w:r>
      </w:hyperlink>
      <w:r w:rsidRPr="00E7669E">
        <w:rPr>
          <w:i/>
        </w:rPr>
        <w:t>, Ltd</w:t>
      </w:r>
      <w:r w:rsidRPr="00220C80">
        <w:t>, 5</w:t>
      </w:r>
      <w:r w:rsidRPr="00070583">
        <w:rPr>
          <w:rStyle w:val="searchterm"/>
        </w:rPr>
        <w:t xml:space="preserve">45 US </w:t>
      </w:r>
      <w:r>
        <w:rPr>
          <w:rStyle w:val="searchterm"/>
        </w:rPr>
        <w:t>913,</w:t>
      </w:r>
      <w:r w:rsidRPr="00070583">
        <w:rPr>
          <w:rStyle w:val="searchterm"/>
        </w:rPr>
        <w:t xml:space="preserve"> 930</w:t>
      </w:r>
      <w:r>
        <w:rPr>
          <w:rStyle w:val="searchterm"/>
        </w:rPr>
        <w:t xml:space="preserve"> (2005) (‘</w:t>
      </w:r>
      <w:r w:rsidRPr="00E7669E">
        <w:rPr>
          <w:rStyle w:val="searchterm"/>
          <w:i/>
        </w:rPr>
        <w:t>Grokster</w:t>
      </w:r>
      <w:r>
        <w:rPr>
          <w:rStyle w:val="searchterm"/>
        </w:rPr>
        <w:t>’)</w:t>
      </w:r>
      <w:r w:rsidRPr="00070583">
        <w:rPr>
          <w:rStyle w:val="searchterm"/>
        </w:rPr>
        <w:t>.</w:t>
      </w:r>
    </w:p>
  </w:footnote>
  <w:footnote w:id="81">
    <w:p w14:paraId="6C1341A8" w14:textId="77777777" w:rsidR="00221972" w:rsidRPr="005535C0" w:rsidRDefault="00221972" w:rsidP="004D590B">
      <w:pPr>
        <w:pStyle w:val="FootnoteText"/>
        <w:rPr>
          <w:lang w:val="en-US"/>
        </w:rPr>
      </w:pPr>
      <w:r>
        <w:rPr>
          <w:rStyle w:val="FootnoteReference"/>
        </w:rPr>
        <w:footnoteRef/>
      </w:r>
      <w:r>
        <w:t xml:space="preserve"> The decision in which the Ninth Circuit set out these interpretations was overturned on ultimate appeal to the Supreme Court on the grounds of inducement liability. However, the findings in relation to the operation of contributory and vicarious liability were undisturbed. </w:t>
      </w:r>
      <w:r>
        <w:rPr>
          <w:lang w:val="en-US"/>
        </w:rPr>
        <w:t xml:space="preserve"> </w:t>
      </w:r>
    </w:p>
  </w:footnote>
  <w:footnote w:id="82">
    <w:p w14:paraId="39CAC24B" w14:textId="09B274E7" w:rsidR="00221972" w:rsidRPr="00523AEA" w:rsidRDefault="00221972">
      <w:pPr>
        <w:pStyle w:val="FootnoteText"/>
        <w:rPr>
          <w:lang w:val="en-US"/>
        </w:rPr>
      </w:pPr>
      <w:r>
        <w:rPr>
          <w:rStyle w:val="FootnoteReference"/>
        </w:rPr>
        <w:footnoteRef/>
      </w:r>
      <w:r>
        <w:t xml:space="preserve"> </w:t>
      </w:r>
      <w:r>
        <w:rPr>
          <w:lang w:val="en-US"/>
        </w:rPr>
        <w:t>–</w:t>
      </w:r>
      <w:r w:rsidRPr="00E7669E">
        <w:rPr>
          <w:i/>
          <w:lang w:val="en-US"/>
        </w:rPr>
        <w:t>Metro-Goldwyn-Mayer Studios Inc v Grokster Ltd</w:t>
      </w:r>
      <w:r w:rsidRPr="00523AEA">
        <w:rPr>
          <w:lang w:val="en-US"/>
        </w:rPr>
        <w:t>, 380 F 3d 1154, 1165 (9th Cir 2004).</w:t>
      </w:r>
    </w:p>
  </w:footnote>
  <w:footnote w:id="83">
    <w:p w14:paraId="328C7F41" w14:textId="6A07F5E1" w:rsidR="00221972" w:rsidRPr="00925EAB" w:rsidRDefault="00221972">
      <w:pPr>
        <w:pStyle w:val="FootnoteText"/>
        <w:rPr>
          <w:lang w:val="en-US"/>
        </w:rPr>
      </w:pPr>
      <w:r>
        <w:rPr>
          <w:rStyle w:val="FootnoteReference"/>
        </w:rPr>
        <w:footnoteRef/>
      </w:r>
      <w:r>
        <w:t xml:space="preserve"> Ibid,</w:t>
      </w:r>
      <w:r w:rsidRPr="00925EAB">
        <w:t xml:space="preserve"> 1162-1163.</w:t>
      </w:r>
    </w:p>
  </w:footnote>
  <w:footnote w:id="84">
    <w:p w14:paraId="52FAA971" w14:textId="6A55726A" w:rsidR="00221972" w:rsidRPr="00F77B13" w:rsidRDefault="00221972" w:rsidP="00123431">
      <w:pPr>
        <w:pStyle w:val="FootnoteText"/>
        <w:rPr>
          <w:lang w:val="en-US"/>
        </w:rPr>
      </w:pPr>
      <w:r>
        <w:rPr>
          <w:rStyle w:val="FootnoteReference"/>
        </w:rPr>
        <w:footnoteRef/>
      </w:r>
      <w:r>
        <w:t xml:space="preserve"> The complete history of this phenomenon is explored in Rebecca Giblin, </w:t>
      </w:r>
      <w:r w:rsidRPr="00123431">
        <w:rPr>
          <w:i/>
          <w:iCs/>
        </w:rPr>
        <w:t>Code Wars</w:t>
      </w:r>
      <w:r>
        <w:t xml:space="preserve"> (Edward Elgar, 2011). </w:t>
      </w:r>
    </w:p>
  </w:footnote>
  <w:footnote w:id="85">
    <w:p w14:paraId="7543432B" w14:textId="19B5A6AB" w:rsidR="00221972" w:rsidRPr="00070583" w:rsidRDefault="00221972" w:rsidP="004D590B">
      <w:pPr>
        <w:pStyle w:val="FootnoteText"/>
      </w:pPr>
      <w:r w:rsidRPr="00070583">
        <w:rPr>
          <w:rStyle w:val="FootnoteReference"/>
        </w:rPr>
        <w:footnoteRef/>
      </w:r>
      <w:r w:rsidRPr="00070583">
        <w:t xml:space="preserve"> </w:t>
      </w:r>
      <w:hyperlink r:id="rId19" w:history="1">
        <w:r w:rsidRPr="00BD06D0">
          <w:rPr>
            <w:rStyle w:val="documentbody"/>
            <w:i/>
          </w:rPr>
          <w:t>Grokster</w:t>
        </w:r>
      </w:hyperlink>
      <w:r>
        <w:rPr>
          <w:rStyle w:val="searchterm"/>
        </w:rPr>
        <w:t xml:space="preserve">, </w:t>
      </w:r>
      <w:r w:rsidRPr="00070583">
        <w:rPr>
          <w:rStyle w:val="searchterm"/>
        </w:rPr>
        <w:t>936-37.</w:t>
      </w:r>
    </w:p>
  </w:footnote>
  <w:footnote w:id="86">
    <w:p w14:paraId="54FF6837" w14:textId="615205BD" w:rsidR="00221972" w:rsidRPr="00D01669" w:rsidRDefault="00221972">
      <w:pPr>
        <w:pStyle w:val="FootnoteText"/>
        <w:rPr>
          <w:lang w:val="en-US"/>
        </w:rPr>
      </w:pPr>
      <w:r>
        <w:rPr>
          <w:rStyle w:val="FootnoteReference"/>
        </w:rPr>
        <w:footnoteRef/>
      </w:r>
      <w:r>
        <w:t xml:space="preserve"> </w:t>
      </w:r>
      <w:r>
        <w:rPr>
          <w:lang w:val="en-US"/>
        </w:rPr>
        <w:t xml:space="preserve">See also comparison of Australian and US secondary liability law in Jane Ginsburg and Sam Ricketson, ‘Separating Sony sheep from Grokster (and Kazaa) goats: Reckoning future business plans of copyright-dependent technology entrepreneurs’ (2008) 19(1) </w:t>
      </w:r>
      <w:r w:rsidRPr="001D2CBE">
        <w:rPr>
          <w:i/>
          <w:lang w:val="en-US"/>
        </w:rPr>
        <w:t>Australian Intellectual Property Journal</w:t>
      </w:r>
      <w:r>
        <w:rPr>
          <w:lang w:val="en-US"/>
        </w:rPr>
        <w:t xml:space="preserve"> 10-42, especially 12-20.</w:t>
      </w:r>
    </w:p>
  </w:footnote>
  <w:footnote w:id="87">
    <w:p w14:paraId="07AE61FE" w14:textId="50C01F00" w:rsidR="00221972" w:rsidRPr="00F44BB2" w:rsidRDefault="00221972" w:rsidP="00273B0A">
      <w:pPr>
        <w:pStyle w:val="FootnoteText"/>
        <w:rPr>
          <w:lang w:val="fr-FR"/>
        </w:rPr>
      </w:pPr>
      <w:r>
        <w:rPr>
          <w:rStyle w:val="FootnoteReference"/>
        </w:rPr>
        <w:footnoteRef/>
      </w:r>
      <w:r w:rsidRPr="00F44BB2">
        <w:rPr>
          <w:lang w:val="fr-FR"/>
        </w:rPr>
        <w:t xml:space="preserve"> </w:t>
      </w:r>
      <w:r w:rsidRPr="00F44BB2">
        <w:rPr>
          <w:i/>
          <w:lang w:val="fr-FR"/>
        </w:rPr>
        <w:t>Scarlet Extended SA v Societe belge des auteurs, compositeurs et editeurs SCRL (SABAM)</w:t>
      </w:r>
      <w:r w:rsidRPr="00F44BB2">
        <w:rPr>
          <w:lang w:val="fr-FR"/>
        </w:rPr>
        <w:t xml:space="preserve">, C-70/10, EU:C:2011:771; </w:t>
      </w:r>
      <w:r w:rsidRPr="00F44BB2">
        <w:rPr>
          <w:i/>
          <w:lang w:val="fr-FR"/>
        </w:rPr>
        <w:t>Belgische Vereniging van Auteurs, Componisten en Uitgevers CVBA (SABAM) v Netlog NV</w:t>
      </w:r>
      <w:r w:rsidRPr="00F44BB2">
        <w:rPr>
          <w:lang w:val="fr-FR"/>
        </w:rPr>
        <w:t>, C-360/10, EU:C:2012:85.</w:t>
      </w:r>
      <w:r w:rsidRPr="00F44BB2">
        <w:rPr>
          <w:highlight w:val="yellow"/>
          <w:lang w:val="fr-FR"/>
        </w:rPr>
        <w:t xml:space="preserve"> </w:t>
      </w:r>
    </w:p>
  </w:footnote>
  <w:footnote w:id="88">
    <w:p w14:paraId="3D818307" w14:textId="07516A26" w:rsidR="00221972" w:rsidRPr="00DD2069" w:rsidRDefault="00221972">
      <w:pPr>
        <w:pStyle w:val="FootnoteText"/>
        <w:rPr>
          <w:lang w:val="en-US"/>
        </w:rPr>
      </w:pPr>
      <w:r>
        <w:rPr>
          <w:rStyle w:val="FootnoteReference"/>
        </w:rPr>
        <w:footnoteRef/>
      </w:r>
      <w:r>
        <w:t xml:space="preserve"> </w:t>
      </w:r>
      <w:r>
        <w:rPr>
          <w:i/>
        </w:rPr>
        <w:t>Copyright Act</w:t>
      </w:r>
      <w:r w:rsidRPr="00B54BB3">
        <w:t xml:space="preserve">, </w:t>
      </w:r>
      <w:r>
        <w:t>s 116AH(2); 17 USC 512(m)(1).</w:t>
      </w:r>
    </w:p>
  </w:footnote>
  <w:footnote w:id="89">
    <w:p w14:paraId="47F1FA61" w14:textId="3CE2D6AB" w:rsidR="00221972" w:rsidRPr="00925EAB" w:rsidRDefault="00221972">
      <w:pPr>
        <w:pStyle w:val="FootnoteText"/>
        <w:rPr>
          <w:lang w:val="en-US"/>
        </w:rPr>
      </w:pPr>
      <w:r>
        <w:rPr>
          <w:rStyle w:val="FootnoteReference"/>
        </w:rPr>
        <w:footnoteRef/>
      </w:r>
      <w:r>
        <w:t xml:space="preserve"> </w:t>
      </w:r>
      <w:r>
        <w:rPr>
          <w:lang w:val="en-US"/>
        </w:rPr>
        <w:t xml:space="preserve">See generally Rebecca Giblin, ‘Evaluating Graduated Response’ (2014) 37 </w:t>
      </w:r>
      <w:r w:rsidRPr="001D2CBE">
        <w:rPr>
          <w:i/>
          <w:lang w:val="en-US"/>
        </w:rPr>
        <w:t>Columbia Journal of Law &amp; the Arts</w:t>
      </w:r>
      <w:r>
        <w:rPr>
          <w:lang w:val="en-US"/>
        </w:rPr>
        <w:t xml:space="preserve"> 147-209.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3D68" w14:textId="77777777" w:rsidR="00221972" w:rsidRDefault="00221972" w:rsidP="003E25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0DE878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538EFFBC"/>
    <w:lvl w:ilvl="0">
      <w:start w:val="1"/>
      <w:numFmt w:val="bullet"/>
      <w:lvlText w:val=""/>
      <w:lvlJc w:val="left"/>
      <w:pPr>
        <w:tabs>
          <w:tab w:val="num" w:pos="360"/>
        </w:tabs>
        <w:ind w:left="360" w:hanging="360"/>
      </w:pPr>
      <w:rPr>
        <w:rFonts w:ascii="Symbol" w:hAnsi="Symbol" w:hint="default"/>
      </w:rPr>
    </w:lvl>
  </w:abstractNum>
  <w:abstractNum w:abstractNumId="2">
    <w:nsid w:val="03033728"/>
    <w:multiLevelType w:val="hybridMultilevel"/>
    <w:tmpl w:val="71BCB78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7185329"/>
    <w:multiLevelType w:val="hybridMultilevel"/>
    <w:tmpl w:val="E70A17BC"/>
    <w:lvl w:ilvl="0" w:tplc="4F7249EA">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AA63AC6"/>
    <w:multiLevelType w:val="hybridMultilevel"/>
    <w:tmpl w:val="46406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4F51FF"/>
    <w:multiLevelType w:val="hybridMultilevel"/>
    <w:tmpl w:val="BC6C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F1204"/>
    <w:multiLevelType w:val="hybridMultilevel"/>
    <w:tmpl w:val="ADCC0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3D10C5"/>
    <w:multiLevelType w:val="hybridMultilevel"/>
    <w:tmpl w:val="47EA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20ADC"/>
    <w:multiLevelType w:val="hybridMultilevel"/>
    <w:tmpl w:val="E6A60516"/>
    <w:lvl w:ilvl="0" w:tplc="7BBEA1BC">
      <w:start w:val="1"/>
      <w:numFmt w:val="bullet"/>
      <w:pStyle w:val="ListBulletNegative"/>
      <w:lvlText w:val=""/>
      <w:lvlJc w:val="left"/>
      <w:pPr>
        <w:ind w:left="576" w:hanging="432"/>
      </w:pPr>
      <w:rPr>
        <w:rFonts w:ascii="Wingdings 3" w:hAnsi="Wingdings 3"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D2FF4"/>
    <w:multiLevelType w:val="hybridMultilevel"/>
    <w:tmpl w:val="9ECEB714"/>
    <w:lvl w:ilvl="0" w:tplc="0422D50A">
      <w:start w:val="1"/>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64648"/>
    <w:multiLevelType w:val="hybridMultilevel"/>
    <w:tmpl w:val="7BBA2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F369CB"/>
    <w:multiLevelType w:val="hybridMultilevel"/>
    <w:tmpl w:val="06D0BCA8"/>
    <w:lvl w:ilvl="0" w:tplc="239219D2">
      <w:start w:val="1"/>
      <w:numFmt w:val="bullet"/>
      <w:pStyle w:val="ListBullet"/>
      <w:lvlText w:val=""/>
      <w:lvlJc w:val="left"/>
      <w:pPr>
        <w:ind w:left="1566" w:hanging="432"/>
      </w:pPr>
      <w:rPr>
        <w:rFonts w:ascii="Wingdings 3" w:hAnsi="Wingdings 3" w:hint="default"/>
        <w:color w:val="F72B1E" w:themeColor="accent1"/>
        <w:position w:val="-4"/>
        <w:sz w:val="28"/>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377551C2"/>
    <w:multiLevelType w:val="hybridMultilevel"/>
    <w:tmpl w:val="5E36AB5A"/>
    <w:lvl w:ilvl="0" w:tplc="04090001">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3">
    <w:nsid w:val="40897AA4"/>
    <w:multiLevelType w:val="hybridMultilevel"/>
    <w:tmpl w:val="5E36AB5A"/>
    <w:lvl w:ilvl="0" w:tplc="04090001">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4">
    <w:nsid w:val="44EA79FF"/>
    <w:multiLevelType w:val="hybridMultilevel"/>
    <w:tmpl w:val="A760BE26"/>
    <w:lvl w:ilvl="0" w:tplc="04090001">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nsid w:val="45187480"/>
    <w:multiLevelType w:val="hybridMultilevel"/>
    <w:tmpl w:val="669E13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9D12BC8"/>
    <w:multiLevelType w:val="hybridMultilevel"/>
    <w:tmpl w:val="A760BE26"/>
    <w:lvl w:ilvl="0" w:tplc="04090001">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nsid w:val="4BDC6CC1"/>
    <w:multiLevelType w:val="hybridMultilevel"/>
    <w:tmpl w:val="0E22B1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E9B59C7"/>
    <w:multiLevelType w:val="hybridMultilevel"/>
    <w:tmpl w:val="F390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7F0A46"/>
    <w:multiLevelType w:val="hybridMultilevel"/>
    <w:tmpl w:val="A760BE26"/>
    <w:lvl w:ilvl="0" w:tplc="04090001">
      <w:start w:val="1"/>
      <w:numFmt w:val="lowerLetter"/>
      <w:lvlText w:val="%1)"/>
      <w:lvlJc w:val="left"/>
      <w:pPr>
        <w:ind w:left="1854" w:hanging="360"/>
      </w:pPr>
    </w:lvl>
    <w:lvl w:ilvl="1" w:tplc="04090003" w:tentative="1">
      <w:start w:val="1"/>
      <w:numFmt w:val="lowerLetter"/>
      <w:lvlText w:val="%2."/>
      <w:lvlJc w:val="left"/>
      <w:pPr>
        <w:ind w:left="2574" w:hanging="360"/>
      </w:pPr>
    </w:lvl>
    <w:lvl w:ilvl="2" w:tplc="04090005" w:tentative="1">
      <w:start w:val="1"/>
      <w:numFmt w:val="lowerRoman"/>
      <w:lvlText w:val="%3."/>
      <w:lvlJc w:val="right"/>
      <w:pPr>
        <w:ind w:left="3294" w:hanging="180"/>
      </w:pPr>
    </w:lvl>
    <w:lvl w:ilvl="3" w:tplc="04090001" w:tentative="1">
      <w:start w:val="1"/>
      <w:numFmt w:val="decimal"/>
      <w:lvlText w:val="%4."/>
      <w:lvlJc w:val="left"/>
      <w:pPr>
        <w:ind w:left="4014" w:hanging="360"/>
      </w:pPr>
    </w:lvl>
    <w:lvl w:ilvl="4" w:tplc="04090003" w:tentative="1">
      <w:start w:val="1"/>
      <w:numFmt w:val="lowerLetter"/>
      <w:lvlText w:val="%5."/>
      <w:lvlJc w:val="left"/>
      <w:pPr>
        <w:ind w:left="4734" w:hanging="360"/>
      </w:pPr>
    </w:lvl>
    <w:lvl w:ilvl="5" w:tplc="04090005" w:tentative="1">
      <w:start w:val="1"/>
      <w:numFmt w:val="lowerRoman"/>
      <w:lvlText w:val="%6."/>
      <w:lvlJc w:val="right"/>
      <w:pPr>
        <w:ind w:left="5454" w:hanging="180"/>
      </w:pPr>
    </w:lvl>
    <w:lvl w:ilvl="6" w:tplc="04090001" w:tentative="1">
      <w:start w:val="1"/>
      <w:numFmt w:val="decimal"/>
      <w:lvlText w:val="%7."/>
      <w:lvlJc w:val="left"/>
      <w:pPr>
        <w:ind w:left="6174" w:hanging="360"/>
      </w:pPr>
    </w:lvl>
    <w:lvl w:ilvl="7" w:tplc="04090003" w:tentative="1">
      <w:start w:val="1"/>
      <w:numFmt w:val="lowerLetter"/>
      <w:lvlText w:val="%8."/>
      <w:lvlJc w:val="left"/>
      <w:pPr>
        <w:ind w:left="6894" w:hanging="360"/>
      </w:pPr>
    </w:lvl>
    <w:lvl w:ilvl="8" w:tplc="04090005" w:tentative="1">
      <w:start w:val="1"/>
      <w:numFmt w:val="lowerRoman"/>
      <w:lvlText w:val="%9."/>
      <w:lvlJc w:val="right"/>
      <w:pPr>
        <w:ind w:left="7614" w:hanging="180"/>
      </w:pPr>
    </w:lvl>
  </w:abstractNum>
  <w:abstractNum w:abstractNumId="20">
    <w:nsid w:val="545F12EC"/>
    <w:multiLevelType w:val="hybridMultilevel"/>
    <w:tmpl w:val="5294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1D5FE1"/>
    <w:multiLevelType w:val="hybridMultilevel"/>
    <w:tmpl w:val="BF1A03E4"/>
    <w:lvl w:ilvl="0" w:tplc="9498389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3B3607"/>
    <w:multiLevelType w:val="hybridMultilevel"/>
    <w:tmpl w:val="F768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92621E"/>
    <w:multiLevelType w:val="hybridMultilevel"/>
    <w:tmpl w:val="D7961F0E"/>
    <w:lvl w:ilvl="0" w:tplc="28D4CCA2">
      <w:numFmt w:val="bullet"/>
      <w:lvlText w:val="-"/>
      <w:lvlJc w:val="left"/>
      <w:pPr>
        <w:ind w:left="720" w:hanging="360"/>
      </w:pPr>
      <w:rPr>
        <w:rFonts w:ascii="Mistral" w:eastAsiaTheme="minorHAnsi" w:hAnsi="Mistr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C426DB"/>
    <w:multiLevelType w:val="hybridMultilevel"/>
    <w:tmpl w:val="CECC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0061EA"/>
    <w:multiLevelType w:val="hybridMultilevel"/>
    <w:tmpl w:val="04AC8794"/>
    <w:lvl w:ilvl="0" w:tplc="87B6BC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B74394"/>
    <w:multiLevelType w:val="hybridMultilevel"/>
    <w:tmpl w:val="47EA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8D51FE"/>
    <w:multiLevelType w:val="hybridMultilevel"/>
    <w:tmpl w:val="71BCB78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73043159"/>
    <w:multiLevelType w:val="hybridMultilevel"/>
    <w:tmpl w:val="0854C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344EC5"/>
    <w:multiLevelType w:val="hybridMultilevel"/>
    <w:tmpl w:val="47EA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1"/>
  </w:num>
  <w:num w:numId="4">
    <w:abstractNumId w:val="0"/>
  </w:num>
  <w:num w:numId="5">
    <w:abstractNumId w:val="8"/>
  </w:num>
  <w:num w:numId="6">
    <w:abstractNumId w:val="21"/>
  </w:num>
  <w:num w:numId="7">
    <w:abstractNumId w:val="22"/>
  </w:num>
  <w:num w:numId="8">
    <w:abstractNumId w:val="19"/>
  </w:num>
  <w:num w:numId="9">
    <w:abstractNumId w:val="12"/>
  </w:num>
  <w:num w:numId="10">
    <w:abstractNumId w:val="14"/>
  </w:num>
  <w:num w:numId="11">
    <w:abstractNumId w:val="9"/>
  </w:num>
  <w:num w:numId="12">
    <w:abstractNumId w:val="2"/>
  </w:num>
  <w:num w:numId="13">
    <w:abstractNumId w:val="27"/>
  </w:num>
  <w:num w:numId="14">
    <w:abstractNumId w:val="15"/>
  </w:num>
  <w:num w:numId="15">
    <w:abstractNumId w:val="16"/>
  </w:num>
  <w:num w:numId="16">
    <w:abstractNumId w:val="6"/>
  </w:num>
  <w:num w:numId="17">
    <w:abstractNumId w:val="5"/>
  </w:num>
  <w:num w:numId="18">
    <w:abstractNumId w:val="4"/>
  </w:num>
  <w:num w:numId="19">
    <w:abstractNumId w:val="3"/>
  </w:num>
  <w:num w:numId="20">
    <w:abstractNumId w:val="7"/>
  </w:num>
  <w:num w:numId="21">
    <w:abstractNumId w:val="28"/>
  </w:num>
  <w:num w:numId="22">
    <w:abstractNumId w:val="25"/>
  </w:num>
  <w:num w:numId="23">
    <w:abstractNumId w:val="29"/>
  </w:num>
  <w:num w:numId="24">
    <w:abstractNumId w:val="26"/>
  </w:num>
  <w:num w:numId="25">
    <w:abstractNumId w:val="13"/>
  </w:num>
  <w:num w:numId="26">
    <w:abstractNumId w:val="17"/>
  </w:num>
  <w:num w:numId="27">
    <w:abstractNumId w:val="10"/>
  </w:num>
  <w:num w:numId="28">
    <w:abstractNumId w:val="20"/>
  </w:num>
  <w:num w:numId="29">
    <w:abstractNumId w:val="2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48"/>
    <w:rsid w:val="000006D9"/>
    <w:rsid w:val="00001B32"/>
    <w:rsid w:val="000038E7"/>
    <w:rsid w:val="00003AD3"/>
    <w:rsid w:val="00005C76"/>
    <w:rsid w:val="00010C23"/>
    <w:rsid w:val="00012BD2"/>
    <w:rsid w:val="00015E72"/>
    <w:rsid w:val="00016F37"/>
    <w:rsid w:val="00021D16"/>
    <w:rsid w:val="00030EEF"/>
    <w:rsid w:val="00031F6B"/>
    <w:rsid w:val="00033273"/>
    <w:rsid w:val="00037259"/>
    <w:rsid w:val="00037AC8"/>
    <w:rsid w:val="00041C9B"/>
    <w:rsid w:val="0004523E"/>
    <w:rsid w:val="00046C75"/>
    <w:rsid w:val="00054392"/>
    <w:rsid w:val="00063E2E"/>
    <w:rsid w:val="00064D0B"/>
    <w:rsid w:val="00065316"/>
    <w:rsid w:val="00072111"/>
    <w:rsid w:val="00073B1E"/>
    <w:rsid w:val="00084427"/>
    <w:rsid w:val="00091EE4"/>
    <w:rsid w:val="00093348"/>
    <w:rsid w:val="000A0F67"/>
    <w:rsid w:val="000A5F4C"/>
    <w:rsid w:val="000A7A59"/>
    <w:rsid w:val="000B6742"/>
    <w:rsid w:val="000B6E9F"/>
    <w:rsid w:val="000C653F"/>
    <w:rsid w:val="000C77C8"/>
    <w:rsid w:val="000D0E11"/>
    <w:rsid w:val="000D341C"/>
    <w:rsid w:val="000D3C48"/>
    <w:rsid w:val="000D4785"/>
    <w:rsid w:val="000E4608"/>
    <w:rsid w:val="000E4B75"/>
    <w:rsid w:val="000F21B7"/>
    <w:rsid w:val="000F3450"/>
    <w:rsid w:val="001023DA"/>
    <w:rsid w:val="001033ED"/>
    <w:rsid w:val="00110522"/>
    <w:rsid w:val="00120EF4"/>
    <w:rsid w:val="0012180C"/>
    <w:rsid w:val="001220E5"/>
    <w:rsid w:val="00123431"/>
    <w:rsid w:val="00124790"/>
    <w:rsid w:val="001304E0"/>
    <w:rsid w:val="00131815"/>
    <w:rsid w:val="00132B3A"/>
    <w:rsid w:val="001349DB"/>
    <w:rsid w:val="00135469"/>
    <w:rsid w:val="0014150A"/>
    <w:rsid w:val="00142C28"/>
    <w:rsid w:val="00145479"/>
    <w:rsid w:val="00150652"/>
    <w:rsid w:val="00154944"/>
    <w:rsid w:val="00155F9A"/>
    <w:rsid w:val="0015653B"/>
    <w:rsid w:val="00163783"/>
    <w:rsid w:val="00164D9F"/>
    <w:rsid w:val="00165731"/>
    <w:rsid w:val="00166CE9"/>
    <w:rsid w:val="00170727"/>
    <w:rsid w:val="00170FD1"/>
    <w:rsid w:val="001735C0"/>
    <w:rsid w:val="00174D93"/>
    <w:rsid w:val="00177900"/>
    <w:rsid w:val="001822E5"/>
    <w:rsid w:val="00184338"/>
    <w:rsid w:val="001942E7"/>
    <w:rsid w:val="00197437"/>
    <w:rsid w:val="001A1BBD"/>
    <w:rsid w:val="001A4D07"/>
    <w:rsid w:val="001A5B9C"/>
    <w:rsid w:val="001A62AF"/>
    <w:rsid w:val="001A6BB9"/>
    <w:rsid w:val="001B1E14"/>
    <w:rsid w:val="001B4CEF"/>
    <w:rsid w:val="001B582A"/>
    <w:rsid w:val="001C2594"/>
    <w:rsid w:val="001C260C"/>
    <w:rsid w:val="001C2A84"/>
    <w:rsid w:val="001C2F93"/>
    <w:rsid w:val="001C686F"/>
    <w:rsid w:val="001C733E"/>
    <w:rsid w:val="001D02B7"/>
    <w:rsid w:val="001D1165"/>
    <w:rsid w:val="001D2CBE"/>
    <w:rsid w:val="001D74B6"/>
    <w:rsid w:val="001E0626"/>
    <w:rsid w:val="001E0AF7"/>
    <w:rsid w:val="001E1E8F"/>
    <w:rsid w:val="001F7C75"/>
    <w:rsid w:val="001F7E18"/>
    <w:rsid w:val="00203569"/>
    <w:rsid w:val="002050E9"/>
    <w:rsid w:val="00206927"/>
    <w:rsid w:val="00207B21"/>
    <w:rsid w:val="00210523"/>
    <w:rsid w:val="00212837"/>
    <w:rsid w:val="002177E9"/>
    <w:rsid w:val="0021798B"/>
    <w:rsid w:val="00220C80"/>
    <w:rsid w:val="00221972"/>
    <w:rsid w:val="00221981"/>
    <w:rsid w:val="002230D2"/>
    <w:rsid w:val="00223DF1"/>
    <w:rsid w:val="0022625D"/>
    <w:rsid w:val="00231972"/>
    <w:rsid w:val="00241317"/>
    <w:rsid w:val="002462B4"/>
    <w:rsid w:val="002500BE"/>
    <w:rsid w:val="00254EB3"/>
    <w:rsid w:val="002607DA"/>
    <w:rsid w:val="00262872"/>
    <w:rsid w:val="00265B58"/>
    <w:rsid w:val="002670F3"/>
    <w:rsid w:val="00272B10"/>
    <w:rsid w:val="00273B0A"/>
    <w:rsid w:val="0027658C"/>
    <w:rsid w:val="0027683A"/>
    <w:rsid w:val="0028157B"/>
    <w:rsid w:val="00281696"/>
    <w:rsid w:val="00282126"/>
    <w:rsid w:val="0028286E"/>
    <w:rsid w:val="00286E4D"/>
    <w:rsid w:val="002A0DD9"/>
    <w:rsid w:val="002A1F57"/>
    <w:rsid w:val="002A5206"/>
    <w:rsid w:val="002A57E8"/>
    <w:rsid w:val="002A6B6C"/>
    <w:rsid w:val="002B17BA"/>
    <w:rsid w:val="002B3628"/>
    <w:rsid w:val="002B5990"/>
    <w:rsid w:val="002B6DB1"/>
    <w:rsid w:val="002B7F11"/>
    <w:rsid w:val="002C3B57"/>
    <w:rsid w:val="002D211E"/>
    <w:rsid w:val="002D34E2"/>
    <w:rsid w:val="002D4464"/>
    <w:rsid w:val="002E019F"/>
    <w:rsid w:val="002E323A"/>
    <w:rsid w:val="002E65D2"/>
    <w:rsid w:val="002F21DC"/>
    <w:rsid w:val="002F4C78"/>
    <w:rsid w:val="002F518E"/>
    <w:rsid w:val="0030297D"/>
    <w:rsid w:val="00303E58"/>
    <w:rsid w:val="00306D4E"/>
    <w:rsid w:val="00315703"/>
    <w:rsid w:val="00315F1D"/>
    <w:rsid w:val="00316D0B"/>
    <w:rsid w:val="0031725C"/>
    <w:rsid w:val="00317403"/>
    <w:rsid w:val="0032179B"/>
    <w:rsid w:val="00326106"/>
    <w:rsid w:val="00326EE2"/>
    <w:rsid w:val="003314DA"/>
    <w:rsid w:val="0033268F"/>
    <w:rsid w:val="00332C96"/>
    <w:rsid w:val="00333181"/>
    <w:rsid w:val="00340A0B"/>
    <w:rsid w:val="00342448"/>
    <w:rsid w:val="00343FC3"/>
    <w:rsid w:val="00344032"/>
    <w:rsid w:val="0034474A"/>
    <w:rsid w:val="00345F57"/>
    <w:rsid w:val="0034696F"/>
    <w:rsid w:val="003469C8"/>
    <w:rsid w:val="003476C9"/>
    <w:rsid w:val="0035436F"/>
    <w:rsid w:val="00356EFF"/>
    <w:rsid w:val="00357A1A"/>
    <w:rsid w:val="00357B5D"/>
    <w:rsid w:val="0036131C"/>
    <w:rsid w:val="0036373B"/>
    <w:rsid w:val="0036549F"/>
    <w:rsid w:val="00365CB6"/>
    <w:rsid w:val="00366FBB"/>
    <w:rsid w:val="00372CAC"/>
    <w:rsid w:val="003730F3"/>
    <w:rsid w:val="003748EC"/>
    <w:rsid w:val="003753D2"/>
    <w:rsid w:val="003837DB"/>
    <w:rsid w:val="0038409E"/>
    <w:rsid w:val="00384122"/>
    <w:rsid w:val="00387CEB"/>
    <w:rsid w:val="003920BF"/>
    <w:rsid w:val="0039280F"/>
    <w:rsid w:val="0039784E"/>
    <w:rsid w:val="003A4019"/>
    <w:rsid w:val="003A6FA3"/>
    <w:rsid w:val="003A77ED"/>
    <w:rsid w:val="003B46DC"/>
    <w:rsid w:val="003C1936"/>
    <w:rsid w:val="003C4E32"/>
    <w:rsid w:val="003C5213"/>
    <w:rsid w:val="003C66C0"/>
    <w:rsid w:val="003C70E1"/>
    <w:rsid w:val="003C7692"/>
    <w:rsid w:val="003D3989"/>
    <w:rsid w:val="003D76F5"/>
    <w:rsid w:val="003E2116"/>
    <w:rsid w:val="003E2543"/>
    <w:rsid w:val="003E51AF"/>
    <w:rsid w:val="004127F3"/>
    <w:rsid w:val="00417657"/>
    <w:rsid w:val="00420F2E"/>
    <w:rsid w:val="00421F83"/>
    <w:rsid w:val="004240CC"/>
    <w:rsid w:val="004241BF"/>
    <w:rsid w:val="004245C8"/>
    <w:rsid w:val="0043232D"/>
    <w:rsid w:val="00435338"/>
    <w:rsid w:val="004358C8"/>
    <w:rsid w:val="00437541"/>
    <w:rsid w:val="00437F93"/>
    <w:rsid w:val="00440FB6"/>
    <w:rsid w:val="0044177B"/>
    <w:rsid w:val="004434DE"/>
    <w:rsid w:val="00447218"/>
    <w:rsid w:val="00450830"/>
    <w:rsid w:val="0045348B"/>
    <w:rsid w:val="00453BA4"/>
    <w:rsid w:val="0045776D"/>
    <w:rsid w:val="00461843"/>
    <w:rsid w:val="00461AAA"/>
    <w:rsid w:val="004632F7"/>
    <w:rsid w:val="00482612"/>
    <w:rsid w:val="00483CD9"/>
    <w:rsid w:val="00484718"/>
    <w:rsid w:val="00486ADF"/>
    <w:rsid w:val="00486DAC"/>
    <w:rsid w:val="00495484"/>
    <w:rsid w:val="004A1227"/>
    <w:rsid w:val="004A1E43"/>
    <w:rsid w:val="004B0116"/>
    <w:rsid w:val="004B2156"/>
    <w:rsid w:val="004B31FC"/>
    <w:rsid w:val="004B4E92"/>
    <w:rsid w:val="004B5FB8"/>
    <w:rsid w:val="004B63FB"/>
    <w:rsid w:val="004C2738"/>
    <w:rsid w:val="004C411C"/>
    <w:rsid w:val="004C5646"/>
    <w:rsid w:val="004C5A20"/>
    <w:rsid w:val="004C68E5"/>
    <w:rsid w:val="004D1BAF"/>
    <w:rsid w:val="004D1F0A"/>
    <w:rsid w:val="004D590B"/>
    <w:rsid w:val="004D6458"/>
    <w:rsid w:val="004E136E"/>
    <w:rsid w:val="004E2659"/>
    <w:rsid w:val="004E4868"/>
    <w:rsid w:val="004E6DD1"/>
    <w:rsid w:val="004E7834"/>
    <w:rsid w:val="004F32D3"/>
    <w:rsid w:val="004F5EB3"/>
    <w:rsid w:val="00500C82"/>
    <w:rsid w:val="00502459"/>
    <w:rsid w:val="00510C87"/>
    <w:rsid w:val="005133FC"/>
    <w:rsid w:val="00514F05"/>
    <w:rsid w:val="00515A65"/>
    <w:rsid w:val="005164AF"/>
    <w:rsid w:val="00521405"/>
    <w:rsid w:val="00523AEA"/>
    <w:rsid w:val="005242D5"/>
    <w:rsid w:val="00526BDD"/>
    <w:rsid w:val="0053026B"/>
    <w:rsid w:val="00542C08"/>
    <w:rsid w:val="005453B2"/>
    <w:rsid w:val="00546819"/>
    <w:rsid w:val="005470A4"/>
    <w:rsid w:val="0055109E"/>
    <w:rsid w:val="0055149F"/>
    <w:rsid w:val="00552D45"/>
    <w:rsid w:val="005535C0"/>
    <w:rsid w:val="005609A0"/>
    <w:rsid w:val="005617C1"/>
    <w:rsid w:val="005658A3"/>
    <w:rsid w:val="005662E5"/>
    <w:rsid w:val="00566988"/>
    <w:rsid w:val="0057048A"/>
    <w:rsid w:val="005741A2"/>
    <w:rsid w:val="0057522B"/>
    <w:rsid w:val="00576C59"/>
    <w:rsid w:val="00580151"/>
    <w:rsid w:val="0058070D"/>
    <w:rsid w:val="00581021"/>
    <w:rsid w:val="00581DD7"/>
    <w:rsid w:val="005857D0"/>
    <w:rsid w:val="00585F7B"/>
    <w:rsid w:val="00590D75"/>
    <w:rsid w:val="00592ADB"/>
    <w:rsid w:val="00593FC9"/>
    <w:rsid w:val="00594082"/>
    <w:rsid w:val="005A3B43"/>
    <w:rsid w:val="005A4AA8"/>
    <w:rsid w:val="005B1128"/>
    <w:rsid w:val="005C02B3"/>
    <w:rsid w:val="005C5398"/>
    <w:rsid w:val="005C6221"/>
    <w:rsid w:val="005C6AAE"/>
    <w:rsid w:val="005D2FAF"/>
    <w:rsid w:val="005E14FD"/>
    <w:rsid w:val="005E3EB8"/>
    <w:rsid w:val="005E400C"/>
    <w:rsid w:val="005E43E9"/>
    <w:rsid w:val="005E53AD"/>
    <w:rsid w:val="005F1DF7"/>
    <w:rsid w:val="005F25AB"/>
    <w:rsid w:val="005F2D1C"/>
    <w:rsid w:val="005F5672"/>
    <w:rsid w:val="00600911"/>
    <w:rsid w:val="00603E90"/>
    <w:rsid w:val="006042A9"/>
    <w:rsid w:val="00611D68"/>
    <w:rsid w:val="00613FCC"/>
    <w:rsid w:val="006170C1"/>
    <w:rsid w:val="0062730E"/>
    <w:rsid w:val="006309FF"/>
    <w:rsid w:val="00633A6F"/>
    <w:rsid w:val="00636342"/>
    <w:rsid w:val="00650F8F"/>
    <w:rsid w:val="00656788"/>
    <w:rsid w:val="006573F9"/>
    <w:rsid w:val="00660473"/>
    <w:rsid w:val="00660905"/>
    <w:rsid w:val="00660A93"/>
    <w:rsid w:val="00665000"/>
    <w:rsid w:val="0067405D"/>
    <w:rsid w:val="00675C9B"/>
    <w:rsid w:val="00677F0C"/>
    <w:rsid w:val="0068157D"/>
    <w:rsid w:val="0068252B"/>
    <w:rsid w:val="0068605C"/>
    <w:rsid w:val="00687051"/>
    <w:rsid w:val="006871F4"/>
    <w:rsid w:val="00687729"/>
    <w:rsid w:val="006A1DDB"/>
    <w:rsid w:val="006A2463"/>
    <w:rsid w:val="006A37BB"/>
    <w:rsid w:val="006A590A"/>
    <w:rsid w:val="006A7C8D"/>
    <w:rsid w:val="006B0D38"/>
    <w:rsid w:val="006B3614"/>
    <w:rsid w:val="006B3B1E"/>
    <w:rsid w:val="006B537F"/>
    <w:rsid w:val="006C21C3"/>
    <w:rsid w:val="006C2432"/>
    <w:rsid w:val="006C5677"/>
    <w:rsid w:val="006D098F"/>
    <w:rsid w:val="006D0A65"/>
    <w:rsid w:val="006D3410"/>
    <w:rsid w:val="006D3CA1"/>
    <w:rsid w:val="006D5735"/>
    <w:rsid w:val="006E03CC"/>
    <w:rsid w:val="006E1FBA"/>
    <w:rsid w:val="006E328B"/>
    <w:rsid w:val="006E5312"/>
    <w:rsid w:val="006E7DCE"/>
    <w:rsid w:val="006F1629"/>
    <w:rsid w:val="006F4384"/>
    <w:rsid w:val="0070401B"/>
    <w:rsid w:val="00711A8E"/>
    <w:rsid w:val="0071254A"/>
    <w:rsid w:val="00716025"/>
    <w:rsid w:val="0071623E"/>
    <w:rsid w:val="00725B1C"/>
    <w:rsid w:val="00725EAD"/>
    <w:rsid w:val="00727043"/>
    <w:rsid w:val="007440E4"/>
    <w:rsid w:val="00745892"/>
    <w:rsid w:val="00745C9B"/>
    <w:rsid w:val="007464DF"/>
    <w:rsid w:val="007464F1"/>
    <w:rsid w:val="007479B2"/>
    <w:rsid w:val="00747C6E"/>
    <w:rsid w:val="00764116"/>
    <w:rsid w:val="007726F5"/>
    <w:rsid w:val="00780FFD"/>
    <w:rsid w:val="0078729A"/>
    <w:rsid w:val="007939CC"/>
    <w:rsid w:val="007946F6"/>
    <w:rsid w:val="00794BA2"/>
    <w:rsid w:val="00797CA3"/>
    <w:rsid w:val="00797E80"/>
    <w:rsid w:val="007B07B5"/>
    <w:rsid w:val="007B0851"/>
    <w:rsid w:val="007B0DC6"/>
    <w:rsid w:val="007B4DE8"/>
    <w:rsid w:val="007C0114"/>
    <w:rsid w:val="007C1D06"/>
    <w:rsid w:val="007C43A9"/>
    <w:rsid w:val="007C4D2B"/>
    <w:rsid w:val="007C5F8B"/>
    <w:rsid w:val="007D4734"/>
    <w:rsid w:val="007E0BCF"/>
    <w:rsid w:val="007E1A64"/>
    <w:rsid w:val="007E44DF"/>
    <w:rsid w:val="007E670A"/>
    <w:rsid w:val="007E7DE6"/>
    <w:rsid w:val="007F0BA2"/>
    <w:rsid w:val="00802DC4"/>
    <w:rsid w:val="0080422E"/>
    <w:rsid w:val="008047F4"/>
    <w:rsid w:val="00805854"/>
    <w:rsid w:val="008075D3"/>
    <w:rsid w:val="00810B5C"/>
    <w:rsid w:val="00814812"/>
    <w:rsid w:val="0081588F"/>
    <w:rsid w:val="008173D1"/>
    <w:rsid w:val="00823931"/>
    <w:rsid w:val="00827E7F"/>
    <w:rsid w:val="008358DB"/>
    <w:rsid w:val="00843537"/>
    <w:rsid w:val="0084518F"/>
    <w:rsid w:val="0084537B"/>
    <w:rsid w:val="00846F12"/>
    <w:rsid w:val="008502A3"/>
    <w:rsid w:val="0085204E"/>
    <w:rsid w:val="0085225F"/>
    <w:rsid w:val="008527C6"/>
    <w:rsid w:val="008529D0"/>
    <w:rsid w:val="008600B6"/>
    <w:rsid w:val="008618B9"/>
    <w:rsid w:val="00862412"/>
    <w:rsid w:val="0086262F"/>
    <w:rsid w:val="00863281"/>
    <w:rsid w:val="00867BE3"/>
    <w:rsid w:val="00874866"/>
    <w:rsid w:val="0088286B"/>
    <w:rsid w:val="008852EA"/>
    <w:rsid w:val="00886402"/>
    <w:rsid w:val="00886C9D"/>
    <w:rsid w:val="0089182F"/>
    <w:rsid w:val="008935E0"/>
    <w:rsid w:val="00894383"/>
    <w:rsid w:val="008958A8"/>
    <w:rsid w:val="008A07B0"/>
    <w:rsid w:val="008B7559"/>
    <w:rsid w:val="008C18C5"/>
    <w:rsid w:val="008C2A6C"/>
    <w:rsid w:val="008D1195"/>
    <w:rsid w:val="008D5715"/>
    <w:rsid w:val="008E137B"/>
    <w:rsid w:val="008E1A4C"/>
    <w:rsid w:val="008E4493"/>
    <w:rsid w:val="008E718F"/>
    <w:rsid w:val="008F23E5"/>
    <w:rsid w:val="008F5983"/>
    <w:rsid w:val="008F69C7"/>
    <w:rsid w:val="008F745A"/>
    <w:rsid w:val="00903BCC"/>
    <w:rsid w:val="00904B15"/>
    <w:rsid w:val="00904F75"/>
    <w:rsid w:val="0090544A"/>
    <w:rsid w:val="00911BFA"/>
    <w:rsid w:val="00914DCF"/>
    <w:rsid w:val="009159AE"/>
    <w:rsid w:val="009164D1"/>
    <w:rsid w:val="00925EAB"/>
    <w:rsid w:val="00932363"/>
    <w:rsid w:val="00934851"/>
    <w:rsid w:val="00935D77"/>
    <w:rsid w:val="009375F8"/>
    <w:rsid w:val="0094042C"/>
    <w:rsid w:val="009411B5"/>
    <w:rsid w:val="0094353F"/>
    <w:rsid w:val="009500BA"/>
    <w:rsid w:val="00951EA7"/>
    <w:rsid w:val="00952FAE"/>
    <w:rsid w:val="00961164"/>
    <w:rsid w:val="00962105"/>
    <w:rsid w:val="00962F7A"/>
    <w:rsid w:val="00964097"/>
    <w:rsid w:val="009644DD"/>
    <w:rsid w:val="009668AE"/>
    <w:rsid w:val="00972F78"/>
    <w:rsid w:val="009760D1"/>
    <w:rsid w:val="009845B4"/>
    <w:rsid w:val="00984696"/>
    <w:rsid w:val="009859EB"/>
    <w:rsid w:val="009910F7"/>
    <w:rsid w:val="00991FE1"/>
    <w:rsid w:val="00993447"/>
    <w:rsid w:val="009936E6"/>
    <w:rsid w:val="00995225"/>
    <w:rsid w:val="009959DD"/>
    <w:rsid w:val="009A009C"/>
    <w:rsid w:val="009A20E0"/>
    <w:rsid w:val="009A2D8E"/>
    <w:rsid w:val="009B2A5D"/>
    <w:rsid w:val="009B42FB"/>
    <w:rsid w:val="009B571D"/>
    <w:rsid w:val="009C0250"/>
    <w:rsid w:val="009C1D3A"/>
    <w:rsid w:val="009C2CD6"/>
    <w:rsid w:val="009C6B7B"/>
    <w:rsid w:val="009D0104"/>
    <w:rsid w:val="009D04B6"/>
    <w:rsid w:val="009D1639"/>
    <w:rsid w:val="009D5E32"/>
    <w:rsid w:val="009E0C91"/>
    <w:rsid w:val="009E19B9"/>
    <w:rsid w:val="009E1C36"/>
    <w:rsid w:val="009E2882"/>
    <w:rsid w:val="009F00B3"/>
    <w:rsid w:val="009F01DD"/>
    <w:rsid w:val="009F0C8E"/>
    <w:rsid w:val="009F6D42"/>
    <w:rsid w:val="009F71F6"/>
    <w:rsid w:val="00A03156"/>
    <w:rsid w:val="00A035CC"/>
    <w:rsid w:val="00A04E60"/>
    <w:rsid w:val="00A052EF"/>
    <w:rsid w:val="00A066A1"/>
    <w:rsid w:val="00A07939"/>
    <w:rsid w:val="00A12682"/>
    <w:rsid w:val="00A144C5"/>
    <w:rsid w:val="00A1681D"/>
    <w:rsid w:val="00A20FFD"/>
    <w:rsid w:val="00A26042"/>
    <w:rsid w:val="00A31C6E"/>
    <w:rsid w:val="00A34E3D"/>
    <w:rsid w:val="00A36C2D"/>
    <w:rsid w:val="00A403F4"/>
    <w:rsid w:val="00A40642"/>
    <w:rsid w:val="00A40BE1"/>
    <w:rsid w:val="00A42492"/>
    <w:rsid w:val="00A424DD"/>
    <w:rsid w:val="00A57CE5"/>
    <w:rsid w:val="00A609C7"/>
    <w:rsid w:val="00A6153F"/>
    <w:rsid w:val="00A6602E"/>
    <w:rsid w:val="00A67006"/>
    <w:rsid w:val="00A7244F"/>
    <w:rsid w:val="00A7419C"/>
    <w:rsid w:val="00A76492"/>
    <w:rsid w:val="00A81698"/>
    <w:rsid w:val="00A81D33"/>
    <w:rsid w:val="00A90BFE"/>
    <w:rsid w:val="00A93797"/>
    <w:rsid w:val="00A948D4"/>
    <w:rsid w:val="00A95E49"/>
    <w:rsid w:val="00AA0AB5"/>
    <w:rsid w:val="00AA0CCD"/>
    <w:rsid w:val="00AA1776"/>
    <w:rsid w:val="00AA34BD"/>
    <w:rsid w:val="00AA600C"/>
    <w:rsid w:val="00AB119B"/>
    <w:rsid w:val="00AB1F67"/>
    <w:rsid w:val="00AB51F3"/>
    <w:rsid w:val="00AB5303"/>
    <w:rsid w:val="00AB55FD"/>
    <w:rsid w:val="00AB69B8"/>
    <w:rsid w:val="00AB7B66"/>
    <w:rsid w:val="00AC02D5"/>
    <w:rsid w:val="00AC5D96"/>
    <w:rsid w:val="00AD1870"/>
    <w:rsid w:val="00AD4B2B"/>
    <w:rsid w:val="00AD6DC7"/>
    <w:rsid w:val="00AE03D9"/>
    <w:rsid w:val="00AE1B99"/>
    <w:rsid w:val="00AE4600"/>
    <w:rsid w:val="00AE5D23"/>
    <w:rsid w:val="00AF53AD"/>
    <w:rsid w:val="00B01CD4"/>
    <w:rsid w:val="00B07202"/>
    <w:rsid w:val="00B113E8"/>
    <w:rsid w:val="00B12A26"/>
    <w:rsid w:val="00B202FB"/>
    <w:rsid w:val="00B228A9"/>
    <w:rsid w:val="00B240C7"/>
    <w:rsid w:val="00B247A7"/>
    <w:rsid w:val="00B37F2C"/>
    <w:rsid w:val="00B40058"/>
    <w:rsid w:val="00B412C7"/>
    <w:rsid w:val="00B41308"/>
    <w:rsid w:val="00B42F73"/>
    <w:rsid w:val="00B45DF4"/>
    <w:rsid w:val="00B51D34"/>
    <w:rsid w:val="00B54BB3"/>
    <w:rsid w:val="00B635F8"/>
    <w:rsid w:val="00B63ED1"/>
    <w:rsid w:val="00B701A2"/>
    <w:rsid w:val="00B764AE"/>
    <w:rsid w:val="00B821C3"/>
    <w:rsid w:val="00B94352"/>
    <w:rsid w:val="00BA0BC5"/>
    <w:rsid w:val="00BA355A"/>
    <w:rsid w:val="00BA4F3D"/>
    <w:rsid w:val="00BB012C"/>
    <w:rsid w:val="00BB17A7"/>
    <w:rsid w:val="00BB29EF"/>
    <w:rsid w:val="00BB3386"/>
    <w:rsid w:val="00BC24A6"/>
    <w:rsid w:val="00BC2695"/>
    <w:rsid w:val="00BC28E1"/>
    <w:rsid w:val="00BC3F6A"/>
    <w:rsid w:val="00BC7D78"/>
    <w:rsid w:val="00BD0BF3"/>
    <w:rsid w:val="00BD184B"/>
    <w:rsid w:val="00BD1902"/>
    <w:rsid w:val="00BD23FB"/>
    <w:rsid w:val="00BD617A"/>
    <w:rsid w:val="00BE0C5B"/>
    <w:rsid w:val="00BE0CF3"/>
    <w:rsid w:val="00BE490C"/>
    <w:rsid w:val="00BF2B96"/>
    <w:rsid w:val="00BF7358"/>
    <w:rsid w:val="00C015A9"/>
    <w:rsid w:val="00C04E82"/>
    <w:rsid w:val="00C05854"/>
    <w:rsid w:val="00C133EA"/>
    <w:rsid w:val="00C144BE"/>
    <w:rsid w:val="00C15841"/>
    <w:rsid w:val="00C20D59"/>
    <w:rsid w:val="00C21191"/>
    <w:rsid w:val="00C21716"/>
    <w:rsid w:val="00C22D2D"/>
    <w:rsid w:val="00C255DF"/>
    <w:rsid w:val="00C33767"/>
    <w:rsid w:val="00C33786"/>
    <w:rsid w:val="00C41A60"/>
    <w:rsid w:val="00C4550F"/>
    <w:rsid w:val="00C47A14"/>
    <w:rsid w:val="00C47BF3"/>
    <w:rsid w:val="00C521F0"/>
    <w:rsid w:val="00C55D4E"/>
    <w:rsid w:val="00C60441"/>
    <w:rsid w:val="00C648F0"/>
    <w:rsid w:val="00C7070A"/>
    <w:rsid w:val="00C74AF1"/>
    <w:rsid w:val="00C80F72"/>
    <w:rsid w:val="00C82068"/>
    <w:rsid w:val="00C82DFE"/>
    <w:rsid w:val="00C86311"/>
    <w:rsid w:val="00C9055D"/>
    <w:rsid w:val="00C9187B"/>
    <w:rsid w:val="00CA24D1"/>
    <w:rsid w:val="00CA3E11"/>
    <w:rsid w:val="00CA3FB6"/>
    <w:rsid w:val="00CB2C79"/>
    <w:rsid w:val="00CB3934"/>
    <w:rsid w:val="00CC6081"/>
    <w:rsid w:val="00CD1BA6"/>
    <w:rsid w:val="00CD30E7"/>
    <w:rsid w:val="00CD3B60"/>
    <w:rsid w:val="00CE0049"/>
    <w:rsid w:val="00CE0EF5"/>
    <w:rsid w:val="00CF2502"/>
    <w:rsid w:val="00CF335B"/>
    <w:rsid w:val="00CF701A"/>
    <w:rsid w:val="00D00333"/>
    <w:rsid w:val="00D01669"/>
    <w:rsid w:val="00D01A17"/>
    <w:rsid w:val="00D01C86"/>
    <w:rsid w:val="00D1120C"/>
    <w:rsid w:val="00D1131D"/>
    <w:rsid w:val="00D11E8E"/>
    <w:rsid w:val="00D13960"/>
    <w:rsid w:val="00D149D1"/>
    <w:rsid w:val="00D14FA9"/>
    <w:rsid w:val="00D17755"/>
    <w:rsid w:val="00D21571"/>
    <w:rsid w:val="00D35469"/>
    <w:rsid w:val="00D4109F"/>
    <w:rsid w:val="00D4413D"/>
    <w:rsid w:val="00D45237"/>
    <w:rsid w:val="00D45C2D"/>
    <w:rsid w:val="00D45D71"/>
    <w:rsid w:val="00D53D31"/>
    <w:rsid w:val="00D575A0"/>
    <w:rsid w:val="00D6460C"/>
    <w:rsid w:val="00D65C20"/>
    <w:rsid w:val="00D70655"/>
    <w:rsid w:val="00D70A0A"/>
    <w:rsid w:val="00D70BE0"/>
    <w:rsid w:val="00D70D12"/>
    <w:rsid w:val="00D72791"/>
    <w:rsid w:val="00D72FBC"/>
    <w:rsid w:val="00D73C58"/>
    <w:rsid w:val="00D75A1A"/>
    <w:rsid w:val="00D82873"/>
    <w:rsid w:val="00D83D56"/>
    <w:rsid w:val="00D844DA"/>
    <w:rsid w:val="00D91064"/>
    <w:rsid w:val="00D9155E"/>
    <w:rsid w:val="00D92981"/>
    <w:rsid w:val="00DA0D1C"/>
    <w:rsid w:val="00DA0FFF"/>
    <w:rsid w:val="00DA1D2A"/>
    <w:rsid w:val="00DA3435"/>
    <w:rsid w:val="00DA6797"/>
    <w:rsid w:val="00DB540D"/>
    <w:rsid w:val="00DB76BD"/>
    <w:rsid w:val="00DC3F43"/>
    <w:rsid w:val="00DD1F07"/>
    <w:rsid w:val="00DD2069"/>
    <w:rsid w:val="00DD32B7"/>
    <w:rsid w:val="00DD3BEB"/>
    <w:rsid w:val="00DD457D"/>
    <w:rsid w:val="00DD515A"/>
    <w:rsid w:val="00DD61EB"/>
    <w:rsid w:val="00DE0478"/>
    <w:rsid w:val="00DE1E3F"/>
    <w:rsid w:val="00DE3CCF"/>
    <w:rsid w:val="00DE5775"/>
    <w:rsid w:val="00DE79A4"/>
    <w:rsid w:val="00DF08F2"/>
    <w:rsid w:val="00DF1A1D"/>
    <w:rsid w:val="00DF3799"/>
    <w:rsid w:val="00DF3E72"/>
    <w:rsid w:val="00DF4275"/>
    <w:rsid w:val="00DF6996"/>
    <w:rsid w:val="00E00468"/>
    <w:rsid w:val="00E0320D"/>
    <w:rsid w:val="00E04AC7"/>
    <w:rsid w:val="00E054D3"/>
    <w:rsid w:val="00E17983"/>
    <w:rsid w:val="00E211AE"/>
    <w:rsid w:val="00E22B96"/>
    <w:rsid w:val="00E23C24"/>
    <w:rsid w:val="00E30B0B"/>
    <w:rsid w:val="00E323CC"/>
    <w:rsid w:val="00E33421"/>
    <w:rsid w:val="00E400FD"/>
    <w:rsid w:val="00E4175A"/>
    <w:rsid w:val="00E4519E"/>
    <w:rsid w:val="00E46339"/>
    <w:rsid w:val="00E46B7B"/>
    <w:rsid w:val="00E4706C"/>
    <w:rsid w:val="00E47BF5"/>
    <w:rsid w:val="00E50061"/>
    <w:rsid w:val="00E528FB"/>
    <w:rsid w:val="00E565FF"/>
    <w:rsid w:val="00E72D8D"/>
    <w:rsid w:val="00E7306B"/>
    <w:rsid w:val="00E7669E"/>
    <w:rsid w:val="00E82E6C"/>
    <w:rsid w:val="00E83337"/>
    <w:rsid w:val="00E84112"/>
    <w:rsid w:val="00E87ADE"/>
    <w:rsid w:val="00E87C48"/>
    <w:rsid w:val="00E91239"/>
    <w:rsid w:val="00E92236"/>
    <w:rsid w:val="00E9613A"/>
    <w:rsid w:val="00E9706C"/>
    <w:rsid w:val="00E9787F"/>
    <w:rsid w:val="00EA1E89"/>
    <w:rsid w:val="00EA3F07"/>
    <w:rsid w:val="00EA402C"/>
    <w:rsid w:val="00EA49B7"/>
    <w:rsid w:val="00EB3669"/>
    <w:rsid w:val="00EB59F5"/>
    <w:rsid w:val="00EC22D3"/>
    <w:rsid w:val="00EC2E04"/>
    <w:rsid w:val="00EC3EF6"/>
    <w:rsid w:val="00ED0FE7"/>
    <w:rsid w:val="00ED3F6D"/>
    <w:rsid w:val="00ED6F8D"/>
    <w:rsid w:val="00EE30A3"/>
    <w:rsid w:val="00EE5005"/>
    <w:rsid w:val="00EE5419"/>
    <w:rsid w:val="00EE55F8"/>
    <w:rsid w:val="00EE7F17"/>
    <w:rsid w:val="00EF29F1"/>
    <w:rsid w:val="00EF2ED1"/>
    <w:rsid w:val="00EF3458"/>
    <w:rsid w:val="00EF6A20"/>
    <w:rsid w:val="00F03756"/>
    <w:rsid w:val="00F04CC4"/>
    <w:rsid w:val="00F06CED"/>
    <w:rsid w:val="00F07267"/>
    <w:rsid w:val="00F107B7"/>
    <w:rsid w:val="00F10897"/>
    <w:rsid w:val="00F12782"/>
    <w:rsid w:val="00F15D1F"/>
    <w:rsid w:val="00F17B49"/>
    <w:rsid w:val="00F21027"/>
    <w:rsid w:val="00F23718"/>
    <w:rsid w:val="00F24C55"/>
    <w:rsid w:val="00F25E09"/>
    <w:rsid w:val="00F26EC3"/>
    <w:rsid w:val="00F27EEB"/>
    <w:rsid w:val="00F37F1A"/>
    <w:rsid w:val="00F41756"/>
    <w:rsid w:val="00F44BB2"/>
    <w:rsid w:val="00F45682"/>
    <w:rsid w:val="00F457B4"/>
    <w:rsid w:val="00F470D6"/>
    <w:rsid w:val="00F4787D"/>
    <w:rsid w:val="00F47FC8"/>
    <w:rsid w:val="00F55F0B"/>
    <w:rsid w:val="00F56508"/>
    <w:rsid w:val="00F565EC"/>
    <w:rsid w:val="00F56DC1"/>
    <w:rsid w:val="00F61E16"/>
    <w:rsid w:val="00F62C73"/>
    <w:rsid w:val="00F73F72"/>
    <w:rsid w:val="00F76E06"/>
    <w:rsid w:val="00F77B13"/>
    <w:rsid w:val="00F803F8"/>
    <w:rsid w:val="00F805BC"/>
    <w:rsid w:val="00F81885"/>
    <w:rsid w:val="00F8413C"/>
    <w:rsid w:val="00F8430D"/>
    <w:rsid w:val="00F8527C"/>
    <w:rsid w:val="00F85327"/>
    <w:rsid w:val="00F9315C"/>
    <w:rsid w:val="00F95646"/>
    <w:rsid w:val="00F96CF1"/>
    <w:rsid w:val="00F978EF"/>
    <w:rsid w:val="00F97D75"/>
    <w:rsid w:val="00FA179B"/>
    <w:rsid w:val="00FA463E"/>
    <w:rsid w:val="00FA53BC"/>
    <w:rsid w:val="00FA6FD2"/>
    <w:rsid w:val="00FB1DE9"/>
    <w:rsid w:val="00FB3171"/>
    <w:rsid w:val="00FB5926"/>
    <w:rsid w:val="00FC1821"/>
    <w:rsid w:val="00FC37A8"/>
    <w:rsid w:val="00FC3C72"/>
    <w:rsid w:val="00FC4929"/>
    <w:rsid w:val="00FC5BF6"/>
    <w:rsid w:val="00FC7E56"/>
    <w:rsid w:val="00FC7F7F"/>
    <w:rsid w:val="00FD1645"/>
    <w:rsid w:val="00FD36A0"/>
    <w:rsid w:val="00FD42BB"/>
    <w:rsid w:val="00FD4AE1"/>
    <w:rsid w:val="00FE23AB"/>
    <w:rsid w:val="00FE34C2"/>
    <w:rsid w:val="00FE63FF"/>
    <w:rsid w:val="00FF00AD"/>
    <w:rsid w:val="00FF0CDA"/>
    <w:rsid w:val="00FF1196"/>
    <w:rsid w:val="00FF36D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669E1D"/>
  <w15:docId w15:val="{7CFCFEFF-043C-4C40-B3FC-B879DBDD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492"/>
    <w:rPr>
      <w:sz w:val="22"/>
      <w:szCs w:val="22"/>
      <w:lang w:val="en-AU"/>
    </w:rPr>
  </w:style>
  <w:style w:type="paragraph" w:styleId="Heading1">
    <w:name w:val="heading 1"/>
    <w:basedOn w:val="Normal"/>
    <w:next w:val="Normal"/>
    <w:link w:val="Heading1Char"/>
    <w:uiPriority w:val="9"/>
    <w:qFormat/>
    <w:pPr>
      <w:spacing w:after="0" w:line="240" w:lineRule="auto"/>
      <w:outlineLvl w:val="0"/>
    </w:pPr>
    <w:rPr>
      <w:rFonts w:asciiTheme="majorHAnsi" w:hAnsiTheme="majorHAnsi"/>
      <w:color w:val="F72B1E" w:themeColor="accent1"/>
      <w:sz w:val="48"/>
      <w:szCs w:val="48"/>
    </w:rPr>
  </w:style>
  <w:style w:type="paragraph" w:styleId="Heading2">
    <w:name w:val="heading 2"/>
    <w:basedOn w:val="Normal"/>
    <w:next w:val="Normal"/>
    <w:link w:val="Heading2Char"/>
    <w:uiPriority w:val="9"/>
    <w:unhideWhenUsed/>
    <w:qFormat/>
    <w:pPr>
      <w:pBdr>
        <w:top w:val="dashSmallGap" w:sz="4" w:space="4" w:color="BFBFBF" w:themeColor="background1" w:themeShade="BF"/>
        <w:bottom w:val="dashSmallGap" w:sz="4" w:space="4" w:color="BFBFBF" w:themeColor="background1" w:themeShade="BF"/>
      </w:pBdr>
      <w:spacing w:after="0" w:line="240" w:lineRule="auto"/>
      <w:outlineLvl w:val="1"/>
    </w:pPr>
    <w:rPr>
      <w:rFonts w:asciiTheme="majorHAnsi" w:hAnsiTheme="majorHAnsi"/>
      <w:color w:val="F72B1E" w:themeColor="accent1"/>
      <w:sz w:val="28"/>
      <w:szCs w:val="28"/>
    </w:rPr>
  </w:style>
  <w:style w:type="paragraph" w:styleId="Heading3">
    <w:name w:val="heading 3"/>
    <w:basedOn w:val="Normal"/>
    <w:next w:val="Normal"/>
    <w:link w:val="Heading3Char"/>
    <w:uiPriority w:val="9"/>
    <w:unhideWhenUsed/>
    <w:qFormat/>
    <w:pPr>
      <w:spacing w:after="0" w:line="240" w:lineRule="auto"/>
      <w:outlineLvl w:val="2"/>
    </w:pPr>
    <w:rPr>
      <w:rFonts w:asciiTheme="majorHAnsi" w:hAnsiTheme="majorHAnsi"/>
      <w:sz w:val="24"/>
      <w:szCs w:val="24"/>
    </w:rPr>
  </w:style>
  <w:style w:type="paragraph" w:styleId="Heading4">
    <w:name w:val="heading 4"/>
    <w:basedOn w:val="Normal"/>
    <w:next w:val="Normal"/>
    <w:link w:val="Heading4Char"/>
    <w:uiPriority w:val="9"/>
    <w:unhideWhenUsed/>
    <w:qFormat/>
    <w:pPr>
      <w:spacing w:before="120" w:after="120" w:line="240" w:lineRule="auto"/>
      <w:ind w:left="288"/>
      <w:outlineLvl w:val="3"/>
    </w:pPr>
    <w:rPr>
      <w:rFonts w:asciiTheme="majorHAnsi" w:hAnsiTheme="majorHAnsi"/>
      <w:caps/>
      <w:color w:val="FFFFFF" w:themeColor="background1"/>
      <w:sz w:val="24"/>
      <w:szCs w:val="24"/>
    </w:rPr>
  </w:style>
  <w:style w:type="paragraph" w:styleId="Heading5">
    <w:name w:val="heading 5"/>
    <w:basedOn w:val="Normal"/>
    <w:next w:val="Normal"/>
    <w:link w:val="Heading5Char"/>
    <w:uiPriority w:val="9"/>
    <w:unhideWhenUsed/>
    <w:qFormat/>
    <w:pPr>
      <w:spacing w:before="60" w:after="60" w:line="240" w:lineRule="auto"/>
      <w:outlineLvl w:val="4"/>
    </w:pPr>
    <w:rPr>
      <w:rFonts w:asciiTheme="majorHAnsi" w:hAnsiTheme="majorHAnsi"/>
      <w:caps/>
      <w:color w:val="F72B1E" w:themeColor="accent1"/>
    </w:rPr>
  </w:style>
  <w:style w:type="paragraph" w:styleId="Heading6">
    <w:name w:val="heading 6"/>
    <w:basedOn w:val="Normal"/>
    <w:next w:val="Normal"/>
    <w:link w:val="Heading6Char"/>
    <w:uiPriority w:val="9"/>
    <w:unhideWhenUsed/>
    <w:qFormat/>
    <w:pPr>
      <w:spacing w:after="0" w:line="240" w:lineRule="auto"/>
      <w:ind w:left="360"/>
      <w:outlineLvl w:val="5"/>
    </w:pPr>
    <w:rPr>
      <w:caps/>
      <w:color w:val="F72B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customStyle="1" w:styleId="Normal-SpaceAfter">
    <w:name w:val="Normal - Space After"/>
    <w:basedOn w:val="Normal"/>
    <w:qFormat/>
    <w:pPr>
      <w:spacing w:after="1200"/>
    </w:pPr>
    <w:rPr>
      <w:noProof/>
    </w:rPr>
  </w:style>
  <w:style w:type="paragraph" w:customStyle="1" w:styleId="CoverLogo">
    <w:name w:val="Cover Logo"/>
    <w:basedOn w:val="Normal"/>
    <w:qFormat/>
    <w:pPr>
      <w:pBdr>
        <w:bottom w:val="dashSmallGap" w:sz="4" w:space="15" w:color="BFBFBF" w:themeColor="background1" w:themeShade="BF"/>
      </w:pBdr>
      <w:spacing w:before="2000" w:after="1000" w:line="240" w:lineRule="auto"/>
      <w:ind w:left="864" w:right="864"/>
      <w:jc w:val="center"/>
    </w:pPr>
  </w:style>
  <w:style w:type="paragraph" w:styleId="Title">
    <w:name w:val="Title"/>
    <w:basedOn w:val="Normal"/>
    <w:next w:val="Normal"/>
    <w:link w:val="TitleChar"/>
    <w:qFormat/>
    <w:pPr>
      <w:spacing w:before="1000" w:after="0" w:line="240" w:lineRule="auto"/>
      <w:jc w:val="center"/>
    </w:pPr>
    <w:rPr>
      <w:rFonts w:asciiTheme="majorHAnsi" w:hAnsiTheme="majorHAnsi"/>
      <w:color w:val="F72B1E" w:themeColor="accent1"/>
      <w:sz w:val="48"/>
      <w:szCs w:val="48"/>
    </w:rPr>
  </w:style>
  <w:style w:type="character" w:customStyle="1" w:styleId="TitleChar">
    <w:name w:val="Title Char"/>
    <w:basedOn w:val="DefaultParagraphFont"/>
    <w:link w:val="Title"/>
    <w:rPr>
      <w:rFonts w:asciiTheme="majorHAnsi" w:hAnsiTheme="majorHAnsi"/>
      <w:color w:val="F72B1E" w:themeColor="accent1"/>
      <w:sz w:val="48"/>
      <w:szCs w:val="48"/>
    </w:rPr>
  </w:style>
  <w:style w:type="paragraph" w:styleId="Subtitle">
    <w:name w:val="Subtitle"/>
    <w:basedOn w:val="Normal"/>
    <w:next w:val="Normal"/>
    <w:link w:val="SubtitleChar"/>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SubtitleChar">
    <w:name w:val="Subtitle Char"/>
    <w:basedOn w:val="DefaultParagraphFont"/>
    <w:link w:val="Subtitle"/>
    <w:rPr>
      <w:sz w:val="24"/>
      <w:szCs w:val="24"/>
    </w:rPr>
  </w:style>
  <w:style w:type="paragraph" w:customStyle="1" w:styleId="CompanyInfo">
    <w:name w:val="Company Info"/>
    <w:basedOn w:val="Normal"/>
    <w:qFormat/>
    <w:pPr>
      <w:spacing w:before="300" w:after="0" w:line="360" w:lineRule="auto"/>
      <w:contextualSpacing/>
      <w:jc w:val="center"/>
    </w:pPr>
    <w:rPr>
      <w:color w:val="7F7F7F" w:themeColor="text1" w:themeTint="80"/>
      <w:szCs w:val="18"/>
      <w14:numForm w14:val="lining"/>
    </w:rPr>
  </w:style>
  <w:style w:type="character" w:styleId="Strong">
    <w:name w:val="Strong"/>
    <w:basedOn w:val="DefaultParagraphFont"/>
    <w:uiPriority w:val="1"/>
    <w:qFormat/>
    <w:rPr>
      <w:b/>
      <w:bCs/>
      <w:color w:val="595959" w:themeColor="text1" w:themeTint="A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595959" w:themeColor="text1" w:themeTint="A6"/>
      <w:sz w:val="18"/>
    </w:rPr>
  </w:style>
  <w:style w:type="paragraph" w:styleId="Footer">
    <w:name w:val="footer"/>
    <w:basedOn w:val="Normal"/>
    <w:link w:val="FooterChar"/>
    <w:uiPriority w:val="99"/>
    <w:unhideWhenUsed/>
    <w:pPr>
      <w:spacing w:after="60" w:line="240" w:lineRule="auto"/>
    </w:pPr>
    <w:rPr>
      <w:i/>
      <w:color w:val="A6A6A6" w:themeColor="background1" w:themeShade="A6"/>
      <w:sz w:val="16"/>
      <w:szCs w:val="16"/>
    </w:rPr>
  </w:style>
  <w:style w:type="character" w:customStyle="1" w:styleId="FooterChar">
    <w:name w:val="Footer Char"/>
    <w:basedOn w:val="DefaultParagraphFont"/>
    <w:link w:val="Footer"/>
    <w:uiPriority w:val="99"/>
    <w:rPr>
      <w:i/>
      <w:color w:val="A6A6A6" w:themeColor="background1" w:themeShade="A6"/>
      <w:sz w:val="16"/>
      <w:szCs w:val="16"/>
    </w:rPr>
  </w:style>
  <w:style w:type="character" w:styleId="PageNumber">
    <w:name w:val="page number"/>
    <w:basedOn w:val="DefaultParagraphFont"/>
    <w:uiPriority w:val="1"/>
    <w:qFormat/>
    <w:rPr>
      <w:rFonts w:asciiTheme="majorHAnsi" w:hAnsiTheme="majorHAnsi"/>
      <w:color w:val="F72B1E" w:themeColor="accent1"/>
      <w:sz w:val="20"/>
    </w:rPr>
  </w:style>
  <w:style w:type="character" w:customStyle="1" w:styleId="Heading1Char">
    <w:name w:val="Heading 1 Char"/>
    <w:basedOn w:val="DefaultParagraphFont"/>
    <w:link w:val="Heading1"/>
    <w:uiPriority w:val="9"/>
    <w:rPr>
      <w:rFonts w:asciiTheme="majorHAnsi" w:hAnsiTheme="majorHAnsi"/>
      <w:color w:val="F72B1E" w:themeColor="accent1"/>
      <w:sz w:val="48"/>
      <w:szCs w:val="48"/>
    </w:rPr>
  </w:style>
  <w:style w:type="paragraph" w:styleId="NoSpacing">
    <w:name w:val="No Spacing"/>
    <w:uiPriority w:val="1"/>
    <w:qFormat/>
    <w:pPr>
      <w:spacing w:after="0" w:line="240" w:lineRule="auto"/>
    </w:pPr>
    <w:rPr>
      <w:color w:val="595959" w:themeColor="text1" w:themeTint="A6"/>
      <w:sz w:val="18"/>
    </w:rPr>
  </w:style>
  <w:style w:type="character" w:customStyle="1" w:styleId="Heading2Char">
    <w:name w:val="Heading 2 Char"/>
    <w:basedOn w:val="DefaultParagraphFont"/>
    <w:link w:val="Heading2"/>
    <w:uiPriority w:val="9"/>
    <w:rPr>
      <w:rFonts w:asciiTheme="majorHAnsi" w:hAnsiTheme="majorHAnsi"/>
      <w:color w:val="F72B1E" w:themeColor="accent1"/>
      <w:sz w:val="28"/>
      <w:szCs w:val="28"/>
    </w:rPr>
  </w:style>
  <w:style w:type="character" w:customStyle="1" w:styleId="Heading5Char">
    <w:name w:val="Heading 5 Char"/>
    <w:basedOn w:val="DefaultParagraphFont"/>
    <w:link w:val="Heading5"/>
    <w:uiPriority w:val="9"/>
    <w:rPr>
      <w:rFonts w:asciiTheme="majorHAnsi" w:hAnsiTheme="majorHAnsi"/>
      <w:caps/>
      <w:color w:val="F72B1E" w:themeColor="accent1"/>
    </w:rPr>
  </w:style>
  <w:style w:type="paragraph" w:customStyle="1" w:styleId="SidebarText">
    <w:name w:val="Sidebar Text"/>
    <w:basedOn w:val="Normal"/>
    <w:qFormat/>
    <w:pPr>
      <w:spacing w:before="40" w:after="120" w:line="240" w:lineRule="auto"/>
      <w:ind w:left="360"/>
    </w:pPr>
    <w:rPr>
      <w:color w:val="404040" w:themeColor="text1" w:themeTint="BF"/>
      <w:sz w:val="16"/>
      <w:szCs w:val="16"/>
    </w:rPr>
  </w:style>
  <w:style w:type="paragraph" w:styleId="ListBullet">
    <w:name w:val="List Bullet"/>
    <w:basedOn w:val="Normal"/>
    <w:qFormat/>
    <w:rsid w:val="006E7DCE"/>
    <w:pPr>
      <w:numPr>
        <w:numId w:val="2"/>
      </w:numPr>
      <w:spacing w:before="100" w:after="0" w:line="240" w:lineRule="auto"/>
      <w:ind w:left="360" w:hanging="288"/>
    </w:pPr>
  </w:style>
  <w:style w:type="paragraph" w:customStyle="1" w:styleId="ListBulletNegative">
    <w:name w:val="List Bullet Negative"/>
    <w:basedOn w:val="Normal"/>
    <w:qFormat/>
    <w:pPr>
      <w:numPr>
        <w:numId w:val="5"/>
      </w:numPr>
      <w:spacing w:before="100" w:after="0" w:line="240" w:lineRule="auto"/>
      <w:ind w:left="360" w:hanging="288"/>
    </w:pPr>
    <w:rPr>
      <w:caps/>
    </w:rPr>
  </w:style>
  <w:style w:type="character" w:customStyle="1" w:styleId="Heading3Char">
    <w:name w:val="Heading 3 Char"/>
    <w:basedOn w:val="DefaultParagraphFont"/>
    <w:link w:val="Heading3"/>
    <w:uiPriority w:val="9"/>
    <w:rPr>
      <w:rFonts w:asciiTheme="majorHAnsi" w:hAnsiTheme="majorHAnsi"/>
      <w:color w:val="595959" w:themeColor="text1" w:themeTint="A6"/>
      <w:sz w:val="24"/>
      <w:szCs w:val="24"/>
    </w:rPr>
  </w:style>
  <w:style w:type="paragraph" w:styleId="ListBullet2">
    <w:name w:val="List Bullet 2"/>
    <w:basedOn w:val="Normal"/>
    <w:uiPriority w:val="99"/>
    <w:semiHidden/>
    <w:pPr>
      <w:numPr>
        <w:numId w:val="4"/>
      </w:numPr>
      <w:spacing w:after="0" w:line="240" w:lineRule="auto"/>
      <w:contextualSpacing/>
    </w:pPr>
  </w:style>
  <w:style w:type="character" w:customStyle="1" w:styleId="Heading6Char">
    <w:name w:val="Heading 6 Char"/>
    <w:basedOn w:val="DefaultParagraphFont"/>
    <w:link w:val="Heading6"/>
    <w:uiPriority w:val="9"/>
    <w:rPr>
      <w:caps/>
      <w:color w:val="F72B1E" w:themeColor="accent1"/>
    </w:rPr>
  </w:style>
  <w:style w:type="paragraph" w:customStyle="1" w:styleId="TableText">
    <w:name w:val="Table Text"/>
    <w:basedOn w:val="Normal"/>
    <w:qFormat/>
    <w:pPr>
      <w:spacing w:before="40" w:after="40" w:line="240" w:lineRule="auto"/>
    </w:pPr>
    <w:rPr>
      <w:color w:val="7F7F7F" w:themeColor="text1" w:themeTint="80"/>
      <w:sz w:val="16"/>
      <w:szCs w:val="16"/>
    </w:rPr>
  </w:style>
  <w:style w:type="paragraph" w:customStyle="1" w:styleId="TableRowHeading">
    <w:name w:val="Table Row Heading"/>
    <w:basedOn w:val="Normal"/>
    <w:qFormat/>
    <w:pPr>
      <w:spacing w:before="40" w:after="40" w:line="240" w:lineRule="auto"/>
    </w:pPr>
    <w:rPr>
      <w:rFonts w:asciiTheme="majorHAnsi" w:hAnsiTheme="majorHAnsi"/>
      <w:caps/>
      <w:color w:val="7F7F7F" w:themeColor="text1" w:themeTint="80"/>
      <w:sz w:val="16"/>
      <w:szCs w:val="16"/>
    </w:rPr>
  </w:style>
  <w:style w:type="character" w:styleId="Hyperlink">
    <w:name w:val="Hyperlink"/>
    <w:basedOn w:val="DefaultParagraphFont"/>
    <w:uiPriority w:val="99"/>
    <w:unhideWhenUsed/>
    <w:rPr>
      <w:color w:val="C00000" w:themeColor="hyperlink"/>
      <w:u w:val="single"/>
    </w:rPr>
  </w:style>
  <w:style w:type="paragraph" w:styleId="TOC1">
    <w:name w:val="toc 1"/>
    <w:basedOn w:val="Normal"/>
    <w:next w:val="Normal"/>
    <w:autoRedefine/>
    <w:uiPriority w:val="39"/>
    <w:unhideWhenUsed/>
    <w:qFormat/>
    <w:pPr>
      <w:pBdr>
        <w:bottom w:val="single" w:sz="4" w:space="1" w:color="BFBFBF" w:themeColor="background1" w:themeShade="BF"/>
      </w:pBdr>
      <w:tabs>
        <w:tab w:val="right" w:pos="9778"/>
      </w:tabs>
      <w:spacing w:before="400" w:after="0" w:line="240" w:lineRule="auto"/>
      <w:ind w:right="288"/>
    </w:pPr>
    <w:rPr>
      <w:rFonts w:asciiTheme="majorHAnsi" w:hAnsiTheme="majorHAnsi"/>
      <w:color w:val="F72B1E" w:themeColor="accent1"/>
      <w:sz w:val="24"/>
    </w:rPr>
  </w:style>
  <w:style w:type="paragraph" w:styleId="TOC2">
    <w:name w:val="toc 2"/>
    <w:basedOn w:val="Normal"/>
    <w:next w:val="Normal"/>
    <w:autoRedefine/>
    <w:uiPriority w:val="39"/>
    <w:unhideWhenUsed/>
    <w:qFormat/>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pPr>
      <w:tabs>
        <w:tab w:val="right" w:pos="9778"/>
      </w:tabs>
      <w:spacing w:before="120" w:after="0" w:line="240" w:lineRule="auto"/>
      <w:ind w:left="360" w:right="288"/>
    </w:pPr>
  </w:style>
  <w:style w:type="paragraph" w:customStyle="1" w:styleId="ReportName">
    <w:name w:val="Report Name"/>
    <w:basedOn w:val="Normal"/>
    <w:qFormat/>
    <w:pPr>
      <w:spacing w:after="40" w:line="240" w:lineRule="auto"/>
      <w:jc w:val="right"/>
    </w:pPr>
    <w:rPr>
      <w:rFonts w:asciiTheme="majorHAnsi" w:hAnsiTheme="majorHAnsi"/>
      <w:color w:val="404040" w:themeColor="text1" w:themeTint="BF"/>
    </w:rPr>
  </w:style>
  <w:style w:type="character" w:styleId="PlaceholderText">
    <w:name w:val="Placeholder Text"/>
    <w:basedOn w:val="DefaultParagraphFont"/>
    <w:uiPriority w:val="99"/>
    <w:semiHidden/>
    <w:rPr>
      <w:color w:val="808080"/>
    </w:rPr>
  </w:style>
  <w:style w:type="paragraph" w:styleId="TOCHeading">
    <w:name w:val="TOC Heading"/>
    <w:basedOn w:val="Normal"/>
    <w:next w:val="Normal"/>
    <w:uiPriority w:val="39"/>
    <w:qFormat/>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F72B1E" w:themeColor="accent1"/>
      <w:sz w:val="28"/>
      <w:szCs w:val="28"/>
    </w:rPr>
  </w:style>
  <w:style w:type="character" w:customStyle="1" w:styleId="Heading4Char">
    <w:name w:val="Heading 4 Char"/>
    <w:basedOn w:val="DefaultParagraphFont"/>
    <w:link w:val="Heading4"/>
    <w:uiPriority w:val="9"/>
    <w:rPr>
      <w:rFonts w:asciiTheme="majorHAnsi" w:hAnsiTheme="majorHAnsi"/>
      <w:caps/>
      <w:color w:val="FFFFFF" w:themeColor="background1"/>
      <w:sz w:val="24"/>
      <w:szCs w:val="24"/>
    </w:rPr>
  </w:style>
  <w:style w:type="paragraph" w:customStyle="1" w:styleId="TableText-Center">
    <w:name w:val="Table Text - Center"/>
    <w:basedOn w:val="TableText"/>
    <w:qFormat/>
    <w:pPr>
      <w:jc w:val="center"/>
    </w:pPr>
  </w:style>
  <w:style w:type="table" w:customStyle="1" w:styleId="WB2">
    <w:name w:val="WB2"/>
    <w:basedOn w:val="TableNormal"/>
    <w:uiPriority w:val="99"/>
    <w:pPr>
      <w:spacing w:after="0" w:line="240" w:lineRule="auto"/>
    </w:pPr>
    <w:tblPr>
      <w:tblStyleRowBandSize w:val="1"/>
      <w:tblInd w:w="0" w:type="dxa"/>
      <w:tblBorders>
        <w:top w:val="single" w:sz="4" w:space="0" w:color="BFBFBF" w:themeColor="background1" w:themeShade="BF"/>
        <w:insideH w:val="single" w:sz="4" w:space="0" w:color="BFBFBF" w:themeColor="background1" w:themeShade="BF"/>
      </w:tblBorders>
      <w:tblCellMar>
        <w:top w:w="0" w:type="dxa"/>
        <w:left w:w="108" w:type="dxa"/>
        <w:bottom w:w="0" w:type="dxa"/>
        <w:right w:w="108" w:type="dxa"/>
      </w:tblCellMar>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eNormal"/>
    <w:uiPriority w:val="99"/>
    <w:pPr>
      <w:spacing w:after="0" w:line="240" w:lineRule="auto"/>
    </w:pPr>
    <w:tblPr>
      <w:tblInd w:w="0" w:type="dxa"/>
      <w:tblBorders>
        <w:top w:val="single" w:sz="4" w:space="0" w:color="BFBFBF" w:themeColor="background1" w:themeShade="BF"/>
        <w:insideH w:val="single" w:sz="4" w:space="0" w:color="BFBFBF" w:themeColor="background1" w:themeShade="BF"/>
      </w:tblBorders>
      <w:tblCellMar>
        <w:top w:w="0" w:type="dxa"/>
        <w:left w:w="0" w:type="dxa"/>
        <w:bottom w:w="0" w:type="dxa"/>
        <w:right w:w="0" w:type="dxa"/>
      </w:tblCellMar>
    </w:tblPr>
    <w:tcPr>
      <w:vAlign w:val="center"/>
    </w:tcPr>
  </w:style>
  <w:style w:type="paragraph" w:customStyle="1" w:styleId="Notice">
    <w:name w:val="Notice"/>
    <w:basedOn w:val="Normal"/>
    <w:qFormat/>
    <w:pPr>
      <w:spacing w:before="360"/>
    </w:pPr>
    <w:rPr>
      <w:i/>
      <w:color w:val="808080" w:themeColor="background1" w:themeShade="80"/>
      <w:sz w:val="16"/>
      <w:szCs w:val="16"/>
    </w:rPr>
  </w:style>
  <w:style w:type="paragraph" w:styleId="ListParagraph">
    <w:name w:val="List Paragraph"/>
    <w:basedOn w:val="Normal"/>
    <w:uiPriority w:val="34"/>
    <w:qFormat/>
    <w:rsid w:val="009375F8"/>
    <w:pPr>
      <w:ind w:left="720"/>
      <w:contextualSpacing/>
    </w:pPr>
  </w:style>
  <w:style w:type="paragraph" w:styleId="FootnoteText">
    <w:name w:val="footnote text"/>
    <w:basedOn w:val="Normal"/>
    <w:link w:val="FootnoteTextChar"/>
    <w:uiPriority w:val="99"/>
    <w:unhideWhenUsed/>
    <w:rsid w:val="00D35469"/>
    <w:pPr>
      <w:spacing w:after="0" w:line="240" w:lineRule="auto"/>
    </w:pPr>
    <w:rPr>
      <w:sz w:val="20"/>
      <w:szCs w:val="20"/>
    </w:rPr>
  </w:style>
  <w:style w:type="character" w:customStyle="1" w:styleId="FootnoteTextChar">
    <w:name w:val="Footnote Text Char"/>
    <w:basedOn w:val="DefaultParagraphFont"/>
    <w:link w:val="FootnoteText"/>
    <w:uiPriority w:val="99"/>
    <w:rsid w:val="00D35469"/>
    <w:rPr>
      <w:lang w:val="en-AU"/>
    </w:rPr>
  </w:style>
  <w:style w:type="character" w:styleId="FootnoteReference">
    <w:name w:val="footnote reference"/>
    <w:basedOn w:val="DefaultParagraphFont"/>
    <w:uiPriority w:val="99"/>
    <w:unhideWhenUsed/>
    <w:rsid w:val="00D35469"/>
    <w:rPr>
      <w:vertAlign w:val="superscript"/>
    </w:rPr>
  </w:style>
  <w:style w:type="character" w:customStyle="1" w:styleId="searchterm">
    <w:name w:val="searchterm"/>
    <w:basedOn w:val="DefaultParagraphFont"/>
    <w:rsid w:val="00F77B13"/>
  </w:style>
  <w:style w:type="character" w:customStyle="1" w:styleId="documentbody">
    <w:name w:val="documentbody"/>
    <w:basedOn w:val="DefaultParagraphFont"/>
    <w:rsid w:val="00F77B13"/>
  </w:style>
  <w:style w:type="paragraph" w:styleId="EndnoteText">
    <w:name w:val="endnote text"/>
    <w:basedOn w:val="Normal"/>
    <w:link w:val="EndnoteTextChar"/>
    <w:uiPriority w:val="99"/>
    <w:unhideWhenUsed/>
    <w:rsid w:val="00BA355A"/>
    <w:pPr>
      <w:spacing w:before="120" w:after="120" w:line="360" w:lineRule="auto"/>
      <w:jc w:val="both"/>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BA355A"/>
    <w:rPr>
      <w:rFonts w:ascii="Times New Roman" w:eastAsia="Times New Roman" w:hAnsi="Times New Roman" w:cs="Times New Roman"/>
    </w:rPr>
  </w:style>
  <w:style w:type="character" w:styleId="EndnoteReference">
    <w:name w:val="endnote reference"/>
    <w:uiPriority w:val="99"/>
    <w:semiHidden/>
    <w:unhideWhenUsed/>
    <w:rsid w:val="00BA355A"/>
    <w:rPr>
      <w:vertAlign w:val="superscript"/>
    </w:rPr>
  </w:style>
  <w:style w:type="character" w:styleId="FollowedHyperlink">
    <w:name w:val="FollowedHyperlink"/>
    <w:basedOn w:val="DefaultParagraphFont"/>
    <w:uiPriority w:val="99"/>
    <w:semiHidden/>
    <w:unhideWhenUsed/>
    <w:rsid w:val="00A81698"/>
    <w:rPr>
      <w:color w:val="FDAF3D" w:themeColor="followedHyperlink"/>
      <w:u w:val="single"/>
    </w:rPr>
  </w:style>
  <w:style w:type="paragraph" w:styleId="DocumentMap">
    <w:name w:val="Document Map"/>
    <w:basedOn w:val="Normal"/>
    <w:link w:val="DocumentMapChar"/>
    <w:uiPriority w:val="99"/>
    <w:semiHidden/>
    <w:unhideWhenUsed/>
    <w:rsid w:val="00CD1BA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D1BA6"/>
    <w:rPr>
      <w:rFonts w:ascii="Lucida Grande" w:hAnsi="Lucida Grande" w:cs="Lucida Grande"/>
      <w:sz w:val="24"/>
      <w:szCs w:val="24"/>
      <w:lang w:val="en-AU"/>
    </w:rPr>
  </w:style>
  <w:style w:type="character" w:styleId="CommentReference">
    <w:name w:val="annotation reference"/>
    <w:basedOn w:val="DefaultParagraphFont"/>
    <w:uiPriority w:val="99"/>
    <w:semiHidden/>
    <w:unhideWhenUsed/>
    <w:rsid w:val="009859EB"/>
    <w:rPr>
      <w:sz w:val="18"/>
      <w:szCs w:val="18"/>
    </w:rPr>
  </w:style>
  <w:style w:type="paragraph" w:styleId="CommentText">
    <w:name w:val="annotation text"/>
    <w:basedOn w:val="Normal"/>
    <w:link w:val="CommentTextChar"/>
    <w:uiPriority w:val="99"/>
    <w:semiHidden/>
    <w:unhideWhenUsed/>
    <w:rsid w:val="009859EB"/>
    <w:pPr>
      <w:spacing w:line="240" w:lineRule="auto"/>
    </w:pPr>
    <w:rPr>
      <w:sz w:val="24"/>
      <w:szCs w:val="24"/>
    </w:rPr>
  </w:style>
  <w:style w:type="character" w:customStyle="1" w:styleId="CommentTextChar">
    <w:name w:val="Comment Text Char"/>
    <w:basedOn w:val="DefaultParagraphFont"/>
    <w:link w:val="CommentText"/>
    <w:uiPriority w:val="99"/>
    <w:semiHidden/>
    <w:rsid w:val="009859EB"/>
    <w:rPr>
      <w:sz w:val="24"/>
      <w:szCs w:val="24"/>
      <w:lang w:val="en-AU"/>
    </w:rPr>
  </w:style>
  <w:style w:type="paragraph" w:styleId="CommentSubject">
    <w:name w:val="annotation subject"/>
    <w:basedOn w:val="CommentText"/>
    <w:next w:val="CommentText"/>
    <w:link w:val="CommentSubjectChar"/>
    <w:uiPriority w:val="99"/>
    <w:semiHidden/>
    <w:unhideWhenUsed/>
    <w:rsid w:val="009859EB"/>
    <w:rPr>
      <w:b/>
      <w:bCs/>
      <w:sz w:val="20"/>
      <w:szCs w:val="20"/>
    </w:rPr>
  </w:style>
  <w:style w:type="character" w:customStyle="1" w:styleId="CommentSubjectChar">
    <w:name w:val="Comment Subject Char"/>
    <w:basedOn w:val="CommentTextChar"/>
    <w:link w:val="CommentSubject"/>
    <w:uiPriority w:val="99"/>
    <w:semiHidden/>
    <w:rsid w:val="009859EB"/>
    <w:rPr>
      <w:b/>
      <w:bCs/>
      <w:sz w:val="24"/>
      <w:szCs w:val="24"/>
      <w:lang w:val="en-AU"/>
    </w:rPr>
  </w:style>
  <w:style w:type="character" w:customStyle="1" w:styleId="footnotetextsmallcapsChar">
    <w:name w:val="footnote text small caps Char"/>
    <w:basedOn w:val="FootnoteTextChar"/>
    <w:link w:val="footnotetextsmallcaps"/>
    <w:locked/>
    <w:rsid w:val="00964097"/>
    <w:rPr>
      <w:rFonts w:ascii="Times New Roman" w:eastAsiaTheme="minorEastAsia" w:hAnsi="Times New Roman" w:cs="Times New Roman"/>
      <w:smallCaps/>
      <w:lang w:val="en-AU"/>
    </w:rPr>
  </w:style>
  <w:style w:type="paragraph" w:customStyle="1" w:styleId="footnotetextsmallcaps">
    <w:name w:val="footnote text small caps"/>
    <w:basedOn w:val="FootnoteText"/>
    <w:link w:val="footnotetextsmallcapsChar"/>
    <w:qFormat/>
    <w:rsid w:val="00964097"/>
    <w:rPr>
      <w:rFonts w:ascii="Times New Roman" w:eastAsiaTheme="minorEastAsia" w:hAnsi="Times New Roman" w:cs="Times New Roman"/>
      <w:smallCaps/>
    </w:rPr>
  </w:style>
  <w:style w:type="character" w:styleId="SubtleEmphasis">
    <w:name w:val="Subtle Emphasis"/>
    <w:uiPriority w:val="19"/>
    <w:qFormat/>
    <w:rsid w:val="00964097"/>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1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becca.giblin@monas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online.wsj.com/news/articles/SB10001424052702304626304579505912518706936" TargetMode="External"/><Relationship Id="rId13" Type="http://schemas.openxmlformats.org/officeDocument/2006/relationships/hyperlink" Target="http://www.smartcopying.edu.au/" TargetMode="External"/><Relationship Id="rId18" Type="http://schemas.openxmlformats.org/officeDocument/2006/relationships/hyperlink" Target="file:///C:\Users\rchen\AppData\Roaming\Microsoft\Word\FN\094C_125%20S.%20Ct._MGM.pdf" TargetMode="External"/><Relationship Id="rId3" Type="http://schemas.openxmlformats.org/officeDocument/2006/relationships/hyperlink" Target="http://www.aph.gov.au/parliamentary_business/committees/house_of_representatives_committees?url=ic/itpricing/report.htm" TargetMode="External"/><Relationship Id="rId7" Type="http://schemas.openxmlformats.org/officeDocument/2006/relationships/hyperlink" Target="http://www.news.com.au/technology/whoops-250000-websites-blocked-by-asic-again/story-e6frfro0-1226658608818" TargetMode="External"/><Relationship Id="rId12" Type="http://schemas.openxmlformats.org/officeDocument/2006/relationships/hyperlink" Target="http://www.ag.gov.au/consultations/pages/onlinecopyrightinfringementpublicconsultation.aspx" TargetMode="External"/><Relationship Id="rId17" Type="http://schemas.openxmlformats.org/officeDocument/2006/relationships/hyperlink" Target="file:///C:\Users\rchen\AppData\Roaming\Microsoft\Word\FN\094B_US_Sony%20Corp.pdf" TargetMode="External"/><Relationship Id="rId2" Type="http://schemas.openxmlformats.org/officeDocument/2006/relationships/hyperlink" Target="http://www.alrc.gov.au/publications/copyright-report-122" TargetMode="External"/><Relationship Id="rId16" Type="http://schemas.openxmlformats.org/officeDocument/2006/relationships/hyperlink" Target="file:///C:\Users\rchen\AppData\Roaming\Microsoft\Word\FN\194_F.2d_Gershwin%20Publ'g%20Corp.pdf" TargetMode="External"/><Relationship Id="rId1" Type="http://schemas.openxmlformats.org/officeDocument/2006/relationships/hyperlink" Target="http://www.ag.gov.au/consultations/pages/onlinecopyrightinfringementpublicconsultation.aspx" TargetMode="External"/><Relationship Id="rId6" Type="http://schemas.openxmlformats.org/officeDocument/2006/relationships/hyperlink" Target="http://www.aph.gov.au/parliamentary_business/committees/house_of_representatives_committees?url=ic/itpricing/report.htm" TargetMode="External"/><Relationship Id="rId11" Type="http://schemas.openxmlformats.org/officeDocument/2006/relationships/hyperlink" Target="file:///C:\Users\rchen\AppData\Local\Temp\Robert" TargetMode="External"/><Relationship Id="rId5" Type="http://schemas.openxmlformats.org/officeDocument/2006/relationships/hyperlink" Target="http://digital.org.au/sites/digital.org.au/files/140214%20-%20AG%20Speech%20-%20ADA%20Copyright%20Forum%20%281%29.pdf" TargetMode="External"/><Relationship Id="rId15" Type="http://schemas.openxmlformats.org/officeDocument/2006/relationships/hyperlink" Target="http://works.bepress.com/kimweatherall/29/" TargetMode="External"/><Relationship Id="rId10" Type="http://schemas.openxmlformats.org/officeDocument/2006/relationships/hyperlink" Target="http://digital.org.au/sites/digital.org.au/files/documents/ADAALCCSafeHarboursConsultationFINAL.pdf" TargetMode="External"/><Relationship Id="rId19" Type="http://schemas.openxmlformats.org/officeDocument/2006/relationships/hyperlink" Target="file:///C:\Users\rchen\AppData\Roaming\Microsoft\Word\FN\051_SupremeCourt_Metro-Goldwyn-Mayer.pdf" TargetMode="External"/><Relationship Id="rId4" Type="http://schemas.openxmlformats.org/officeDocument/2006/relationships/hyperlink" Target="http://www.ag.gov.au/consultations/pages/onlinecopyrightinfringementpublicconsultation.aspx" TargetMode="External"/><Relationship Id="rId9" Type="http://schemas.openxmlformats.org/officeDocument/2006/relationships/hyperlink" Target="http://torrentfreak.com/isps-no-longer-have-to-block-the-pirate-bay-dutch-court-rules-140128/" TargetMode="External"/><Relationship Id="rId14" Type="http://schemas.openxmlformats.org/officeDocument/2006/relationships/hyperlink" Target="http://www.eff.org/files/filenode/effeurope/ifpi_filtering_mem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bec\AppData\Roaming\Microsoft\Templates\Business%20report.dotx" TargetMode="External"/></Relationships>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2.xml><?xml version="1.0" encoding="utf-8"?>
<ds:datastoreItem xmlns:ds="http://schemas.openxmlformats.org/officeDocument/2006/customXml" ds:itemID="{CF2F1571-982D-4CB5-98BE-6423C153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0</TotalTime>
  <Pages>27</Pages>
  <Words>11884</Words>
  <Characters>67741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dc:description>Authorisation in Context</dc:description>
  <cp:lastModifiedBy>Australian Digital</cp:lastModifiedBy>
  <cp:revision>2</cp:revision>
  <cp:lastPrinted>2014-09-02T09:19:00Z</cp:lastPrinted>
  <dcterms:created xsi:type="dcterms:W3CDTF">2014-09-04T05:49:00Z</dcterms:created>
  <dcterms:modified xsi:type="dcterms:W3CDTF">2014-09-04T05:49:00Z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