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1D" w:rsidRPr="00745C1D" w:rsidRDefault="00745C1D" w:rsidP="00745C1D">
      <w:pPr>
        <w:jc w:val="center"/>
        <w:rPr>
          <w:rFonts w:cs="Calibri"/>
          <w:b/>
          <w:bCs/>
          <w:sz w:val="24"/>
        </w:rPr>
      </w:pPr>
    </w:p>
    <w:p w:rsidR="00745C1D" w:rsidRPr="00745C1D" w:rsidRDefault="00745C1D" w:rsidP="00745C1D">
      <w:pPr>
        <w:jc w:val="center"/>
        <w:rPr>
          <w:rFonts w:cs="Calibri"/>
          <w:b/>
          <w:bCs/>
          <w:sz w:val="24"/>
        </w:rPr>
      </w:pPr>
    </w:p>
    <w:p w:rsidR="00745C1D" w:rsidRPr="00745C1D" w:rsidRDefault="00745C1D" w:rsidP="00745C1D">
      <w:pPr>
        <w:jc w:val="center"/>
        <w:rPr>
          <w:rFonts w:cs="Calibri"/>
          <w:b/>
          <w:bCs/>
          <w:sz w:val="24"/>
        </w:rPr>
      </w:pPr>
    </w:p>
    <w:p w:rsidR="00745C1D" w:rsidRPr="00745C1D" w:rsidRDefault="00745C1D" w:rsidP="00745C1D">
      <w:pPr>
        <w:jc w:val="center"/>
        <w:rPr>
          <w:rFonts w:cs="Calibri"/>
          <w:b/>
          <w:bCs/>
          <w:sz w:val="24"/>
        </w:rPr>
      </w:pPr>
    </w:p>
    <w:p w:rsidR="00745C1D" w:rsidRPr="00745C1D" w:rsidRDefault="00745C1D" w:rsidP="00745C1D">
      <w:pPr>
        <w:jc w:val="center"/>
        <w:rPr>
          <w:rFonts w:cs="Calibri"/>
          <w:b/>
          <w:bCs/>
          <w:sz w:val="36"/>
        </w:rPr>
      </w:pPr>
    </w:p>
    <w:p w:rsidR="00745C1D" w:rsidRPr="00745C1D" w:rsidRDefault="00745C1D" w:rsidP="00745C1D">
      <w:pPr>
        <w:jc w:val="center"/>
        <w:rPr>
          <w:rFonts w:cs="Calibri"/>
          <w:b/>
          <w:bCs/>
          <w:color w:val="4BACC6"/>
          <w:sz w:val="36"/>
        </w:rPr>
      </w:pPr>
      <w:r w:rsidRPr="00745C1D">
        <w:rPr>
          <w:rFonts w:cs="Calibri"/>
          <w:b/>
          <w:bCs/>
          <w:color w:val="4BACC6"/>
          <w:sz w:val="36"/>
        </w:rPr>
        <w:t>Australasian Performing Rights Association (APRA) application for re-authorisation</w:t>
      </w:r>
    </w:p>
    <w:p w:rsidR="00745C1D" w:rsidRPr="00745C1D" w:rsidRDefault="00745C1D" w:rsidP="00745C1D">
      <w:pPr>
        <w:jc w:val="center"/>
        <w:rPr>
          <w:rFonts w:cs="Calibri"/>
          <w:bCs/>
          <w:i/>
          <w:sz w:val="28"/>
        </w:rPr>
      </w:pPr>
      <w:r w:rsidRPr="00745C1D">
        <w:rPr>
          <w:rFonts w:cs="Calibri"/>
          <w:bCs/>
          <w:i/>
          <w:sz w:val="28"/>
        </w:rPr>
        <w:t xml:space="preserve">Joint submission by the Australian Digital Alliance and Australian Libraries Copyright Committee to the Australian Competition &amp; Consumer Commission </w:t>
      </w:r>
    </w:p>
    <w:p w:rsidR="00745C1D" w:rsidRPr="00745C1D" w:rsidRDefault="00745C1D" w:rsidP="00745C1D">
      <w:pPr>
        <w:jc w:val="center"/>
        <w:rPr>
          <w:rFonts w:cs="Calibri"/>
          <w:b/>
          <w:bCs/>
          <w:sz w:val="24"/>
        </w:rPr>
      </w:pPr>
      <w:r w:rsidRPr="00745C1D">
        <w:rPr>
          <w:rFonts w:cs="Calibri"/>
          <w:b/>
          <w:bCs/>
          <w:i/>
          <w:sz w:val="28"/>
        </w:rPr>
        <w:t xml:space="preserve"> </w:t>
      </w:r>
      <w:r w:rsidRPr="00745C1D">
        <w:rPr>
          <w:rFonts w:cs="Calibri"/>
          <w:b/>
          <w:bCs/>
          <w:sz w:val="28"/>
        </w:rPr>
        <w:t>May 2013</w:t>
      </w:r>
      <w:r w:rsidRPr="00745C1D">
        <w:rPr>
          <w:rFonts w:cs="Calibri"/>
          <w:b/>
          <w:bCs/>
          <w:sz w:val="24"/>
        </w:rPr>
        <w:br w:type="page"/>
      </w:r>
    </w:p>
    <w:p w:rsidR="00745C1D" w:rsidRPr="00745C1D" w:rsidRDefault="00745C1D" w:rsidP="00745C1D">
      <w:pPr>
        <w:spacing w:before="100" w:beforeAutospacing="1" w:after="120"/>
        <w:rPr>
          <w:rFonts w:cs="Calibri"/>
          <w:b/>
          <w:bCs/>
          <w:color w:val="4BACC6"/>
          <w:sz w:val="28"/>
        </w:rPr>
      </w:pPr>
      <w:r w:rsidRPr="00745C1D">
        <w:rPr>
          <w:rFonts w:cs="Calibri"/>
          <w:b/>
          <w:bCs/>
          <w:color w:val="4BACC6"/>
          <w:sz w:val="28"/>
        </w:rPr>
        <w:t>Executive Summary</w:t>
      </w:r>
    </w:p>
    <w:p w:rsidR="00745C1D" w:rsidRPr="00745C1D" w:rsidRDefault="00745C1D" w:rsidP="00745C1D">
      <w:pPr>
        <w:spacing w:before="100" w:beforeAutospacing="1" w:after="120"/>
        <w:jc w:val="both"/>
        <w:rPr>
          <w:rFonts w:cs="Calibri"/>
          <w:sz w:val="24"/>
        </w:rPr>
      </w:pPr>
      <w:r w:rsidRPr="00745C1D">
        <w:rPr>
          <w:rFonts w:cs="Calibri"/>
          <w:sz w:val="24"/>
        </w:rPr>
        <w:t xml:space="preserve">The Australian Digital Alliance (ADA) and Australian Libraries Copyright Committee (ALCC) thank the Australian Competition &amp; Consumer Commission (ACCC) for the opportunity to comment on the Australasian Performing Right Association Ltd (APRA) application for re-authorisation. </w:t>
      </w:r>
    </w:p>
    <w:p w:rsidR="00745C1D" w:rsidRPr="00745C1D" w:rsidRDefault="00745C1D" w:rsidP="00745C1D">
      <w:pPr>
        <w:spacing w:before="100" w:beforeAutospacing="1" w:after="120"/>
        <w:jc w:val="both"/>
        <w:rPr>
          <w:rFonts w:cs="Calibri"/>
          <w:sz w:val="24"/>
        </w:rPr>
      </w:pPr>
      <w:r w:rsidRPr="00745C1D">
        <w:rPr>
          <w:rFonts w:cs="Calibri"/>
          <w:sz w:val="24"/>
        </w:rPr>
        <w:t>The ADA and ALCC believe that the ACCC’s conclusions regarding public benefit and detriment arising from APRA’s arrangements as a collecting society in 2010 remain valid today. While APRA offers composers and music users significant benefits in terms of assisting users with licences to play music, and ensuring appropriate returns to songwriters</w:t>
      </w:r>
      <w:r w:rsidRPr="00745C1D">
        <w:rPr>
          <w:rStyle w:val="FootnoteReference"/>
          <w:rFonts w:cs="Calibri"/>
          <w:sz w:val="24"/>
        </w:rPr>
        <w:footnoteReference w:id="2"/>
      </w:r>
      <w:r w:rsidRPr="00745C1D">
        <w:rPr>
          <w:rFonts w:cs="Calibri"/>
          <w:sz w:val="24"/>
        </w:rPr>
        <w:t xml:space="preserve">, their virtual monopoly in respect of performance-rights licences in Australia means the potential for significant public detriment must be monitored closely.  </w:t>
      </w:r>
    </w:p>
    <w:p w:rsidR="00745C1D" w:rsidRPr="00745C1D" w:rsidRDefault="00745C1D" w:rsidP="00745C1D">
      <w:pPr>
        <w:spacing w:before="100" w:beforeAutospacing="1" w:after="120"/>
        <w:jc w:val="both"/>
        <w:rPr>
          <w:rFonts w:cs="Calibri"/>
          <w:sz w:val="24"/>
        </w:rPr>
      </w:pPr>
      <w:r w:rsidRPr="00745C1D">
        <w:rPr>
          <w:rFonts w:cs="Calibri"/>
          <w:sz w:val="24"/>
        </w:rPr>
        <w:t>In this submission, the ADA and ALCC comment on three aspects of APRA’s submission for re-authorisation:</w:t>
      </w:r>
    </w:p>
    <w:p w:rsidR="00745C1D" w:rsidRPr="00745C1D" w:rsidRDefault="00745C1D" w:rsidP="00745C1D">
      <w:pPr>
        <w:pStyle w:val="ListParagraph"/>
        <w:numPr>
          <w:ilvl w:val="0"/>
          <w:numId w:val="11"/>
        </w:numPr>
        <w:spacing w:before="100" w:beforeAutospacing="1" w:after="120"/>
        <w:contextualSpacing/>
        <w:jc w:val="both"/>
        <w:rPr>
          <w:rFonts w:cs="Calibri"/>
          <w:b/>
          <w:bCs/>
          <w:sz w:val="24"/>
        </w:rPr>
      </w:pPr>
      <w:r w:rsidRPr="00745C1D">
        <w:rPr>
          <w:rFonts w:cs="Calibri"/>
          <w:b/>
          <w:bCs/>
          <w:sz w:val="24"/>
        </w:rPr>
        <w:t>Re-authorisation for a period of six years;</w:t>
      </w:r>
    </w:p>
    <w:p w:rsidR="00745C1D" w:rsidRPr="00745C1D" w:rsidRDefault="00745C1D" w:rsidP="00745C1D">
      <w:pPr>
        <w:pStyle w:val="ListParagraph"/>
        <w:numPr>
          <w:ilvl w:val="0"/>
          <w:numId w:val="11"/>
        </w:numPr>
        <w:spacing w:before="100" w:beforeAutospacing="1" w:after="120"/>
        <w:contextualSpacing/>
        <w:jc w:val="both"/>
        <w:rPr>
          <w:rFonts w:cs="Calibri"/>
          <w:b/>
          <w:bCs/>
          <w:sz w:val="24"/>
        </w:rPr>
      </w:pPr>
      <w:r w:rsidRPr="00745C1D">
        <w:rPr>
          <w:rFonts w:cs="Calibri"/>
          <w:b/>
          <w:bCs/>
          <w:sz w:val="24"/>
        </w:rPr>
        <w:t>Whether APRA’s arrangements lead or could lead to prices impermissibly above competitive levels;</w:t>
      </w:r>
    </w:p>
    <w:p w:rsidR="00745C1D" w:rsidRPr="00745C1D" w:rsidRDefault="00745C1D" w:rsidP="00745C1D">
      <w:pPr>
        <w:pStyle w:val="ListParagraph"/>
        <w:numPr>
          <w:ilvl w:val="0"/>
          <w:numId w:val="11"/>
        </w:numPr>
        <w:spacing w:before="100" w:beforeAutospacing="1" w:after="120"/>
        <w:contextualSpacing/>
        <w:jc w:val="both"/>
        <w:rPr>
          <w:rFonts w:cs="Calibri"/>
          <w:b/>
          <w:bCs/>
          <w:sz w:val="24"/>
        </w:rPr>
      </w:pPr>
      <w:r w:rsidRPr="00745C1D">
        <w:rPr>
          <w:rFonts w:cs="Calibri"/>
          <w:b/>
          <w:bCs/>
          <w:sz w:val="24"/>
        </w:rPr>
        <w:t>That detection and enforcement costs associated with APRA’s operations would be unreasonable if APRA took only non-exclusive rights.</w:t>
      </w:r>
    </w:p>
    <w:p w:rsidR="00745C1D" w:rsidRPr="00745C1D" w:rsidRDefault="00745C1D" w:rsidP="00745C1D">
      <w:pPr>
        <w:spacing w:before="100" w:beforeAutospacing="1" w:after="120"/>
        <w:jc w:val="both"/>
        <w:rPr>
          <w:rFonts w:cs="Calibri"/>
          <w:sz w:val="24"/>
        </w:rPr>
      </w:pPr>
      <w:r w:rsidRPr="00745C1D">
        <w:rPr>
          <w:rFonts w:cs="Calibri"/>
          <w:sz w:val="24"/>
        </w:rPr>
        <w:t>The ADA and ALCC submit that:</w:t>
      </w:r>
    </w:p>
    <w:p w:rsidR="00745C1D" w:rsidRPr="00745C1D" w:rsidRDefault="00745C1D" w:rsidP="00745C1D">
      <w:pPr>
        <w:pStyle w:val="ListParagraph"/>
        <w:numPr>
          <w:ilvl w:val="0"/>
          <w:numId w:val="12"/>
        </w:numPr>
        <w:spacing w:before="100" w:beforeAutospacing="1" w:after="120"/>
        <w:contextualSpacing/>
        <w:jc w:val="both"/>
        <w:rPr>
          <w:rFonts w:cs="Calibri"/>
          <w:b/>
          <w:bCs/>
          <w:sz w:val="24"/>
        </w:rPr>
      </w:pPr>
      <w:r w:rsidRPr="00745C1D">
        <w:rPr>
          <w:rFonts w:cs="Calibri"/>
          <w:b/>
          <w:bCs/>
          <w:sz w:val="24"/>
        </w:rPr>
        <w:t>Three years remains an appropriate authorisation period in light of the rapidly evolving environment surrounding digital consumption of music</w:t>
      </w:r>
    </w:p>
    <w:p w:rsidR="00745C1D" w:rsidRPr="00745C1D" w:rsidRDefault="00745C1D" w:rsidP="00745C1D">
      <w:pPr>
        <w:pStyle w:val="ListParagraph"/>
        <w:numPr>
          <w:ilvl w:val="0"/>
          <w:numId w:val="12"/>
        </w:numPr>
        <w:spacing w:before="100" w:beforeAutospacing="1" w:after="120"/>
        <w:contextualSpacing/>
        <w:jc w:val="both"/>
        <w:rPr>
          <w:rFonts w:cs="Calibri"/>
          <w:b/>
          <w:bCs/>
          <w:sz w:val="24"/>
        </w:rPr>
      </w:pPr>
      <w:r w:rsidRPr="00745C1D">
        <w:rPr>
          <w:rFonts w:cs="Calibri"/>
          <w:b/>
          <w:bCs/>
          <w:sz w:val="24"/>
        </w:rPr>
        <w:lastRenderedPageBreak/>
        <w:t>By virtue of their monopoly in respect of performance-rights licensing, they are able to set licence fees without consideration as to what a competitive price may be; and in some areas, are doing so</w:t>
      </w:r>
    </w:p>
    <w:p w:rsidR="00745C1D" w:rsidRPr="00745C1D" w:rsidRDefault="00745C1D" w:rsidP="00745C1D">
      <w:pPr>
        <w:pStyle w:val="ListParagraph"/>
        <w:numPr>
          <w:ilvl w:val="0"/>
          <w:numId w:val="12"/>
        </w:numPr>
        <w:spacing w:before="100" w:beforeAutospacing="1" w:after="120"/>
        <w:contextualSpacing/>
        <w:jc w:val="both"/>
        <w:rPr>
          <w:rFonts w:cs="Calibri"/>
          <w:b/>
          <w:sz w:val="24"/>
        </w:rPr>
      </w:pPr>
      <w:r w:rsidRPr="00745C1D">
        <w:rPr>
          <w:rFonts w:cs="Calibri"/>
          <w:b/>
          <w:sz w:val="24"/>
        </w:rPr>
        <w:t>Access to transparent distribution and revenue data would benefit licensees negotiating competitive prices with APRA</w:t>
      </w:r>
    </w:p>
    <w:p w:rsidR="00745C1D" w:rsidRPr="00745C1D" w:rsidRDefault="00745C1D" w:rsidP="00745C1D">
      <w:pPr>
        <w:spacing w:before="100" w:beforeAutospacing="1" w:after="120"/>
        <w:jc w:val="both"/>
        <w:rPr>
          <w:rFonts w:cs="Calibri"/>
          <w:b/>
          <w:bCs/>
          <w:sz w:val="24"/>
          <w:highlight w:val="yellow"/>
        </w:rPr>
      </w:pPr>
      <w:r w:rsidRPr="00745C1D">
        <w:rPr>
          <w:rFonts w:cs="Calibri"/>
          <w:sz w:val="24"/>
        </w:rPr>
        <w:t xml:space="preserve">The ADA and ALCC hope to be able to provide the ACCC with further feedback on APRA’s re-authorisation at the draft determination stage of this process. APRA’s submission of their application at this point in time coincides with the next stage of the ALRC Copyright Inquiry, which constrains the resources of organisations like the ADA and ALCC to properly respond to it. </w:t>
      </w:r>
    </w:p>
    <w:p w:rsidR="00745C1D" w:rsidRPr="00745C1D" w:rsidRDefault="00745C1D" w:rsidP="00745C1D">
      <w:pPr>
        <w:pStyle w:val="ListParagraph"/>
        <w:spacing w:before="100" w:beforeAutospacing="1" w:after="120"/>
        <w:ind w:left="0"/>
        <w:rPr>
          <w:rFonts w:cs="Calibri"/>
          <w:b/>
          <w:bCs/>
          <w:color w:val="4BACC6"/>
          <w:sz w:val="28"/>
        </w:rPr>
      </w:pPr>
      <w:r w:rsidRPr="00745C1D">
        <w:rPr>
          <w:rFonts w:cs="Calibri"/>
          <w:b/>
          <w:bCs/>
          <w:color w:val="4BACC6"/>
          <w:sz w:val="28"/>
        </w:rPr>
        <w:t>A. Three years remains an appropriate authorisation period in light of the rapidly evolving environment surrounding digital consumption of music</w:t>
      </w:r>
    </w:p>
    <w:p w:rsidR="00745C1D" w:rsidRPr="00745C1D" w:rsidRDefault="00745C1D" w:rsidP="00745C1D">
      <w:pPr>
        <w:spacing w:before="100" w:beforeAutospacing="1" w:after="120"/>
        <w:jc w:val="both"/>
        <w:rPr>
          <w:rFonts w:cs="Calibri"/>
          <w:sz w:val="24"/>
        </w:rPr>
      </w:pPr>
      <w:r w:rsidRPr="00745C1D">
        <w:rPr>
          <w:rFonts w:cs="Calibri"/>
          <w:sz w:val="24"/>
        </w:rPr>
        <w:t>In seeking authorisation from the ACCC of their conduct and arrangements for six years, APRA state:</w:t>
      </w:r>
    </w:p>
    <w:p w:rsidR="00745C1D" w:rsidRPr="00745C1D" w:rsidRDefault="00745C1D" w:rsidP="00745C1D">
      <w:pPr>
        <w:spacing w:before="100" w:beforeAutospacing="1" w:after="120"/>
        <w:ind w:left="720"/>
        <w:jc w:val="both"/>
        <w:rPr>
          <w:rFonts w:cs="Calibri"/>
          <w:sz w:val="24"/>
        </w:rPr>
      </w:pPr>
      <w:r w:rsidRPr="00745C1D">
        <w:rPr>
          <w:rFonts w:cs="Calibri"/>
          <w:iCs/>
          <w:sz w:val="24"/>
        </w:rPr>
        <w:t>“Experience over the last three years and the likely developments over the short to medium term indicate there is no longer a need to have short term, three year authorisations. APRA submits that in the next six years there are unlikely to be any substantial changes in the market or in technology that alter fundamentally the balance of benefit over detriment inherent in the granting of the present applications for authorisation.</w:t>
      </w:r>
      <w:r w:rsidRPr="00745C1D">
        <w:rPr>
          <w:rFonts w:cs="Calibri"/>
          <w:sz w:val="24"/>
        </w:rPr>
        <w:t>”</w:t>
      </w:r>
      <w:r w:rsidRPr="00745C1D">
        <w:rPr>
          <w:rStyle w:val="FootnoteReference"/>
          <w:rFonts w:cs="Calibri"/>
          <w:sz w:val="24"/>
        </w:rPr>
        <w:footnoteReference w:id="3"/>
      </w:r>
    </w:p>
    <w:p w:rsidR="00745C1D" w:rsidRPr="00745C1D" w:rsidRDefault="00745C1D" w:rsidP="00745C1D">
      <w:pPr>
        <w:spacing w:before="100" w:beforeAutospacing="1" w:after="120"/>
        <w:jc w:val="both"/>
        <w:rPr>
          <w:rFonts w:cs="Calibri"/>
          <w:sz w:val="24"/>
        </w:rPr>
      </w:pPr>
      <w:r w:rsidRPr="00745C1D">
        <w:rPr>
          <w:rFonts w:cs="Calibri"/>
          <w:sz w:val="24"/>
        </w:rPr>
        <w:t>The ADA and ALCC find APRA’s confidence in the stability and predictability of the digital market and technology surprising, in light of their submission (and the submissions of a number of other content industry representatives) to the Australian Law Reform Commission Inquiry into Copyright and the Digital Economy.</w:t>
      </w:r>
    </w:p>
    <w:p w:rsidR="00745C1D" w:rsidRPr="00745C1D" w:rsidRDefault="00745C1D" w:rsidP="00745C1D">
      <w:pPr>
        <w:spacing w:before="100" w:beforeAutospacing="1" w:after="120"/>
        <w:jc w:val="both"/>
        <w:rPr>
          <w:rFonts w:cs="Calibri"/>
          <w:sz w:val="24"/>
          <w:szCs w:val="22"/>
        </w:rPr>
      </w:pPr>
      <w:r w:rsidRPr="00745C1D">
        <w:rPr>
          <w:rFonts w:cs="Calibri"/>
          <w:sz w:val="24"/>
          <w:szCs w:val="22"/>
        </w:rPr>
        <w:t>As APRA noted in their submission to the ALRC Issues Paper, the streaming market for digital music is still emerging:</w:t>
      </w:r>
    </w:p>
    <w:p w:rsidR="00745C1D" w:rsidRPr="00745C1D" w:rsidRDefault="00745C1D" w:rsidP="00745C1D">
      <w:pPr>
        <w:spacing w:before="100" w:beforeAutospacing="1" w:after="120"/>
        <w:ind w:left="720"/>
        <w:jc w:val="both"/>
        <w:rPr>
          <w:rFonts w:cs="Calibri"/>
          <w:sz w:val="24"/>
          <w:szCs w:val="22"/>
        </w:rPr>
      </w:pPr>
      <w:r w:rsidRPr="00745C1D">
        <w:rPr>
          <w:rFonts w:cs="Calibri"/>
          <w:sz w:val="24"/>
          <w:szCs w:val="22"/>
        </w:rPr>
        <w:lastRenderedPageBreak/>
        <w:t>“Spotify launched in Australia in May 2012. In 2011 and 2012, at least ten other music streaming services commenced operations in Australia, including overseas services Rdio and Pandora, and locally developed music services JB Hi Fi and Samsung Music Hub. The impact of these services on the Australian digital download market is uncertain.”</w:t>
      </w:r>
      <w:r w:rsidRPr="00745C1D">
        <w:rPr>
          <w:rStyle w:val="FootnoteReference"/>
          <w:rFonts w:cs="Calibri"/>
          <w:sz w:val="24"/>
          <w:szCs w:val="22"/>
        </w:rPr>
        <w:footnoteReference w:id="4"/>
      </w:r>
      <w:r w:rsidRPr="00745C1D">
        <w:rPr>
          <w:rFonts w:cs="Calibri"/>
          <w:sz w:val="24"/>
          <w:szCs w:val="22"/>
        </w:rPr>
        <w:t xml:space="preserve"> </w:t>
      </w:r>
    </w:p>
    <w:p w:rsidR="00745C1D" w:rsidRPr="00745C1D" w:rsidRDefault="00745C1D" w:rsidP="00745C1D">
      <w:pPr>
        <w:spacing w:before="100" w:beforeAutospacing="1" w:after="120"/>
        <w:jc w:val="both"/>
        <w:rPr>
          <w:rFonts w:cs="Calibri"/>
          <w:sz w:val="24"/>
        </w:rPr>
      </w:pPr>
      <w:r w:rsidRPr="00745C1D">
        <w:rPr>
          <w:rFonts w:cs="Calibri"/>
          <w:sz w:val="24"/>
        </w:rPr>
        <w:t>Similarly, the Australian Recording Industry Association (ARIA) made note of the continuing evolution of digital music licensing in Australia in their submission to the ALRC:</w:t>
      </w:r>
    </w:p>
    <w:p w:rsidR="00745C1D" w:rsidRPr="00745C1D" w:rsidRDefault="00745C1D" w:rsidP="00745C1D">
      <w:pPr>
        <w:spacing w:before="100" w:beforeAutospacing="1" w:after="120"/>
        <w:ind w:left="720"/>
        <w:jc w:val="both"/>
        <w:rPr>
          <w:rFonts w:cs="Calibri"/>
          <w:sz w:val="24"/>
          <w:szCs w:val="22"/>
        </w:rPr>
      </w:pPr>
      <w:r w:rsidRPr="00745C1D">
        <w:rPr>
          <w:rFonts w:cs="Calibri"/>
          <w:sz w:val="24"/>
          <w:szCs w:val="22"/>
        </w:rPr>
        <w:t>“Developments in cloud technology are transforming the way consumers manage and store their music. Many of the cloud services are early in their adoption curve. Increasingly services are offering a bundled array of offerings to their consumers that will change over time. Even as this inquiry proceeds, new services such as the Xbox (Microsoft) music service are being launched or expanding into new territories.”</w:t>
      </w:r>
      <w:r w:rsidRPr="00745C1D">
        <w:rPr>
          <w:rStyle w:val="FootnoteReference"/>
          <w:rFonts w:cs="Calibri"/>
          <w:sz w:val="24"/>
          <w:szCs w:val="22"/>
        </w:rPr>
        <w:footnoteReference w:id="5"/>
      </w:r>
      <w:r w:rsidRPr="00745C1D">
        <w:rPr>
          <w:rFonts w:cs="Calibri"/>
          <w:sz w:val="24"/>
          <w:szCs w:val="22"/>
        </w:rPr>
        <w:t xml:space="preserve"> </w:t>
      </w:r>
    </w:p>
    <w:p w:rsidR="00745C1D" w:rsidRPr="00745C1D" w:rsidRDefault="00745C1D" w:rsidP="00745C1D">
      <w:pPr>
        <w:spacing w:before="100" w:beforeAutospacing="1" w:after="120"/>
        <w:jc w:val="both"/>
        <w:rPr>
          <w:rFonts w:cs="Calibri"/>
          <w:sz w:val="24"/>
          <w:szCs w:val="22"/>
        </w:rPr>
      </w:pPr>
      <w:r w:rsidRPr="00745C1D">
        <w:rPr>
          <w:rFonts w:cs="Calibri"/>
          <w:sz w:val="24"/>
          <w:szCs w:val="22"/>
        </w:rPr>
        <w:t>The Australasian Music Publishers Association (AMPAL), in their submission to the ALRC Copyright Inquiry, described a digital environment in its “nascent stages”:</w:t>
      </w:r>
      <w:r w:rsidRPr="00745C1D">
        <w:rPr>
          <w:rStyle w:val="FootnoteReference"/>
          <w:rFonts w:cs="Calibri"/>
          <w:sz w:val="24"/>
          <w:szCs w:val="22"/>
        </w:rPr>
        <w:footnoteReference w:id="6"/>
      </w:r>
    </w:p>
    <w:p w:rsidR="00745C1D" w:rsidRPr="00745C1D" w:rsidRDefault="00745C1D" w:rsidP="00745C1D">
      <w:pPr>
        <w:spacing w:before="100" w:beforeAutospacing="1" w:after="120"/>
        <w:ind w:left="720"/>
        <w:jc w:val="both"/>
        <w:rPr>
          <w:rFonts w:cs="Calibri"/>
          <w:sz w:val="24"/>
          <w:szCs w:val="22"/>
        </w:rPr>
      </w:pPr>
      <w:r w:rsidRPr="00745C1D">
        <w:rPr>
          <w:rFonts w:cs="Calibri"/>
          <w:sz w:val="24"/>
          <w:szCs w:val="22"/>
        </w:rPr>
        <w:t>“These services [digital music services] are just now gaining traction but the market is still a fragile space.”</w:t>
      </w:r>
      <w:r w:rsidRPr="00745C1D">
        <w:rPr>
          <w:rStyle w:val="FootnoteReference"/>
          <w:rFonts w:cs="Calibri"/>
          <w:sz w:val="24"/>
          <w:szCs w:val="22"/>
        </w:rPr>
        <w:footnoteReference w:id="7"/>
      </w:r>
    </w:p>
    <w:p w:rsidR="00745C1D" w:rsidRPr="00745C1D" w:rsidRDefault="00745C1D" w:rsidP="00745C1D">
      <w:pPr>
        <w:spacing w:before="100" w:beforeAutospacing="1" w:after="120"/>
        <w:jc w:val="both"/>
        <w:rPr>
          <w:rFonts w:cs="Calibri"/>
          <w:sz w:val="24"/>
          <w:szCs w:val="22"/>
        </w:rPr>
      </w:pPr>
      <w:r w:rsidRPr="00745C1D">
        <w:rPr>
          <w:rFonts w:cs="Calibri"/>
          <w:sz w:val="24"/>
          <w:szCs w:val="22"/>
        </w:rPr>
        <w:t>The Australian Copyright Council describes the Copyright Inquiry as taking place,</w:t>
      </w:r>
    </w:p>
    <w:p w:rsidR="00745C1D" w:rsidRPr="00745C1D" w:rsidRDefault="00745C1D" w:rsidP="00745C1D">
      <w:pPr>
        <w:spacing w:before="100" w:beforeAutospacing="1" w:after="120"/>
        <w:ind w:left="720"/>
        <w:jc w:val="both"/>
        <w:rPr>
          <w:rFonts w:cs="Calibri"/>
          <w:sz w:val="24"/>
          <w:szCs w:val="22"/>
        </w:rPr>
      </w:pPr>
      <w:r w:rsidRPr="00745C1D">
        <w:rPr>
          <w:rFonts w:cs="Calibri"/>
          <w:sz w:val="24"/>
          <w:szCs w:val="22"/>
        </w:rPr>
        <w:t>“</w:t>
      </w:r>
      <w:r w:rsidRPr="00745C1D">
        <w:rPr>
          <w:rFonts w:cs="Calibri"/>
          <w:sz w:val="24"/>
        </w:rPr>
        <w:t xml:space="preserve">at a time when business models are in a state of transition as they adapt to new technology and different consumer expectations.  At present, there </w:t>
      </w:r>
      <w:r w:rsidRPr="00745C1D">
        <w:rPr>
          <w:rFonts w:cs="Calibri"/>
          <w:sz w:val="24"/>
        </w:rPr>
        <w:lastRenderedPageBreak/>
        <w:t>remains a gap between some business modes and what consumers want (legitimately or otherwise).”</w:t>
      </w:r>
      <w:r w:rsidRPr="00745C1D">
        <w:rPr>
          <w:rStyle w:val="FootnoteReference"/>
          <w:rFonts w:cs="Calibri"/>
          <w:sz w:val="24"/>
        </w:rPr>
        <w:footnoteReference w:id="8"/>
      </w:r>
    </w:p>
    <w:p w:rsidR="00745C1D" w:rsidRPr="00745C1D" w:rsidRDefault="00745C1D" w:rsidP="00745C1D">
      <w:pPr>
        <w:spacing w:before="100" w:beforeAutospacing="1" w:after="120"/>
        <w:jc w:val="both"/>
        <w:rPr>
          <w:rFonts w:cs="Calibri"/>
          <w:sz w:val="24"/>
          <w:szCs w:val="22"/>
        </w:rPr>
      </w:pPr>
      <w:r w:rsidRPr="00745C1D">
        <w:rPr>
          <w:rFonts w:cs="Calibri"/>
          <w:sz w:val="24"/>
          <w:szCs w:val="22"/>
        </w:rPr>
        <w:t xml:space="preserve">In </w:t>
      </w:r>
      <w:r w:rsidRPr="00745C1D">
        <w:rPr>
          <w:rFonts w:cs="Calibri"/>
          <w:i/>
          <w:iCs/>
          <w:sz w:val="24"/>
          <w:szCs w:val="22"/>
        </w:rPr>
        <w:t xml:space="preserve">Australian Entertainment &amp; Media Outlook 2012 – 2016, </w:t>
      </w:r>
      <w:r w:rsidRPr="00745C1D">
        <w:rPr>
          <w:rFonts w:cs="Calibri"/>
          <w:sz w:val="24"/>
          <w:szCs w:val="22"/>
        </w:rPr>
        <w:t>PricewaterhouseCoopers (PwC) points to a market in a state of transition, with digital distribution of music set to increase from $7.5 billion in 2011 to $13.5 billion in 2016 - a 12.6 percent compound annual advance</w:t>
      </w:r>
      <w:r>
        <w:rPr>
          <w:rFonts w:cs="Calibri"/>
          <w:sz w:val="24"/>
          <w:szCs w:val="22"/>
        </w:rPr>
        <w:t>.</w:t>
      </w:r>
      <w:r w:rsidRPr="00745C1D">
        <w:rPr>
          <w:rStyle w:val="FootnoteReference"/>
          <w:rFonts w:cs="Calibri"/>
          <w:sz w:val="24"/>
          <w:szCs w:val="22"/>
        </w:rPr>
        <w:footnoteReference w:id="9"/>
      </w:r>
      <w:r w:rsidRPr="00745C1D">
        <w:rPr>
          <w:rFonts w:cs="Calibri"/>
          <w:sz w:val="24"/>
          <w:szCs w:val="22"/>
        </w:rPr>
        <w:t xml:space="preserve"> At the same time, PwC notes physical distribution of music content is decreasing and will likely be surpassed by digital sales in the near future.</w:t>
      </w:r>
      <w:r w:rsidRPr="00745C1D">
        <w:rPr>
          <w:rStyle w:val="FootnoteReference"/>
          <w:rFonts w:cs="Calibri"/>
          <w:sz w:val="24"/>
          <w:szCs w:val="22"/>
        </w:rPr>
        <w:footnoteReference w:id="10"/>
      </w:r>
      <w:r w:rsidRPr="00745C1D">
        <w:rPr>
          <w:rFonts w:cs="Calibri"/>
          <w:sz w:val="24"/>
          <w:szCs w:val="22"/>
        </w:rPr>
        <w:t xml:space="preserve"> </w:t>
      </w:r>
    </w:p>
    <w:p w:rsidR="00745C1D" w:rsidRPr="00745C1D" w:rsidRDefault="00745C1D" w:rsidP="00745C1D">
      <w:pPr>
        <w:spacing w:before="100" w:beforeAutospacing="1" w:after="120"/>
        <w:jc w:val="both"/>
        <w:rPr>
          <w:rFonts w:cs="Calibri"/>
          <w:sz w:val="24"/>
          <w:szCs w:val="22"/>
        </w:rPr>
      </w:pPr>
      <w:r w:rsidRPr="00745C1D">
        <w:rPr>
          <w:rFonts w:cs="Calibri"/>
          <w:sz w:val="24"/>
          <w:szCs w:val="22"/>
        </w:rPr>
        <w:t>In the next three to six years it is extremely likely digital music offerings will continue to evolve, both in the context of the roll out of the National Broadband Network (NBN) and increased penetration of connected devices (smartphones, smartTVs) into the Australian market. A number of technology companies have remarked to the ADA and ALCC that they would find it had to say what will happen in the Australian market in the next two years, let along six.</w:t>
      </w:r>
    </w:p>
    <w:p w:rsidR="00745C1D" w:rsidRPr="00745C1D" w:rsidRDefault="00745C1D" w:rsidP="00745C1D">
      <w:pPr>
        <w:spacing w:before="100" w:beforeAutospacing="1" w:after="120"/>
        <w:jc w:val="both"/>
        <w:rPr>
          <w:rFonts w:cs="Calibri"/>
          <w:sz w:val="24"/>
          <w:szCs w:val="22"/>
        </w:rPr>
      </w:pPr>
      <w:r w:rsidRPr="00745C1D">
        <w:rPr>
          <w:rFonts w:cs="Calibri"/>
          <w:sz w:val="24"/>
          <w:szCs w:val="22"/>
        </w:rPr>
        <w:t>APRA too has taken note of the opportunities for content creators arising from the roll out of the NBN, commenting that the ‘NBN and its ability to support new content delivery models provides an exciting new context for creative content and its creators.’</w:t>
      </w:r>
      <w:r w:rsidRPr="00745C1D">
        <w:rPr>
          <w:rStyle w:val="FootnoteReference"/>
          <w:rFonts w:cs="Calibri"/>
          <w:sz w:val="24"/>
          <w:szCs w:val="22"/>
        </w:rPr>
        <w:footnoteReference w:id="11"/>
      </w:r>
    </w:p>
    <w:p w:rsidR="00745C1D" w:rsidRPr="00745C1D" w:rsidRDefault="00745C1D" w:rsidP="00745C1D">
      <w:pPr>
        <w:spacing w:before="100" w:beforeAutospacing="1" w:after="120"/>
        <w:jc w:val="both"/>
        <w:rPr>
          <w:rFonts w:cs="Calibri"/>
          <w:sz w:val="24"/>
          <w:szCs w:val="22"/>
        </w:rPr>
      </w:pPr>
      <w:r w:rsidRPr="00745C1D">
        <w:rPr>
          <w:rFonts w:cs="Calibri"/>
          <w:sz w:val="24"/>
          <w:szCs w:val="22"/>
        </w:rPr>
        <w:t xml:space="preserve">Similarly, the copyright framework underpinning APRA’s licensing arrangements is in a state of review. The Australian Law Reform Commission (ALRC) is set to deliver their final report on the appropriateness of existing copyright exceptions in the digital environment to the federal Government on 30 November 2013. At the same time, Australian content industries continue to press for Government intervention to combat the unauthorized access to and distribution of copyright works. It is not unlikely that within the next 3-5 years, the Australian copyright </w:t>
      </w:r>
      <w:r w:rsidRPr="00745C1D">
        <w:rPr>
          <w:rFonts w:cs="Calibri"/>
          <w:sz w:val="24"/>
          <w:szCs w:val="22"/>
        </w:rPr>
        <w:lastRenderedPageBreak/>
        <w:t xml:space="preserve">framework will change – with a resulting impact on the environment for performance-rights licensing. </w:t>
      </w:r>
    </w:p>
    <w:p w:rsidR="00745C1D" w:rsidRPr="00745C1D" w:rsidRDefault="00745C1D" w:rsidP="00745C1D">
      <w:pPr>
        <w:spacing w:before="100" w:beforeAutospacing="1" w:after="120"/>
        <w:jc w:val="both"/>
        <w:rPr>
          <w:rFonts w:cs="Calibri"/>
          <w:sz w:val="24"/>
        </w:rPr>
      </w:pPr>
      <w:r w:rsidRPr="00745C1D">
        <w:rPr>
          <w:rFonts w:cs="Calibri"/>
          <w:sz w:val="24"/>
        </w:rPr>
        <w:t>In their current submission for reauthorisation, APRA describe a market for digital music ‘at a critical point, with many unanswered questions about the directions in which it will develop’.</w:t>
      </w:r>
      <w:r w:rsidRPr="00745C1D">
        <w:rPr>
          <w:rStyle w:val="FootnoteReference"/>
          <w:rFonts w:cs="Calibri"/>
          <w:sz w:val="24"/>
        </w:rPr>
        <w:footnoteReference w:id="12"/>
      </w:r>
      <w:r w:rsidRPr="00745C1D">
        <w:rPr>
          <w:rFonts w:cs="Calibri"/>
          <w:sz w:val="24"/>
        </w:rPr>
        <w:t xml:space="preserve"> APRA readily acknowledges that with respect to licensing of new digital business activities, in many cases  a licence through APRA will be a user’s only option (in circumstances where these users do not have the resources to negotiate licences on an individual basis).</w:t>
      </w:r>
      <w:r w:rsidRPr="00745C1D">
        <w:rPr>
          <w:rStyle w:val="FootnoteReference"/>
          <w:rFonts w:cs="Calibri"/>
          <w:sz w:val="24"/>
        </w:rPr>
        <w:footnoteReference w:id="13"/>
      </w:r>
      <w:r w:rsidRPr="00745C1D">
        <w:rPr>
          <w:rFonts w:cs="Calibri"/>
          <w:sz w:val="24"/>
        </w:rPr>
        <w:t xml:space="preserve"> The ADA and ALCC feel that APRA’s monopoly with respect to performance rights licensing, in such a rapidly evolving environment, justifies a three year authorisation term.  </w:t>
      </w:r>
    </w:p>
    <w:p w:rsidR="00745C1D" w:rsidRPr="00745C1D" w:rsidRDefault="00745C1D" w:rsidP="00745C1D">
      <w:pPr>
        <w:spacing w:before="100" w:beforeAutospacing="1" w:after="120"/>
        <w:jc w:val="both"/>
        <w:rPr>
          <w:rFonts w:cs="Calibri"/>
          <w:sz w:val="24"/>
          <w:szCs w:val="22"/>
        </w:rPr>
      </w:pPr>
      <w:r w:rsidRPr="00745C1D">
        <w:rPr>
          <w:rFonts w:cs="Calibri"/>
          <w:sz w:val="24"/>
          <w:szCs w:val="22"/>
        </w:rPr>
        <w:t xml:space="preserve">Further taking into account the continuing evolution of digital business models for consumption of music in Australia, the opportunities offered by the National Broadband Network (NBN) and potential changes to the Australian copyright framework, the ADA and ALCC believe it is fair and necessary that ACCC review APRA’s licensing arrangements in another 3 years. </w:t>
      </w:r>
    </w:p>
    <w:p w:rsidR="00745C1D" w:rsidRPr="00745C1D" w:rsidRDefault="00745C1D" w:rsidP="00745C1D">
      <w:pPr>
        <w:pBdr>
          <w:top w:val="single" w:sz="4" w:space="1" w:color="auto"/>
          <w:left w:val="single" w:sz="4" w:space="4" w:color="auto"/>
          <w:bottom w:val="single" w:sz="4" w:space="1" w:color="auto"/>
          <w:right w:val="single" w:sz="4" w:space="4" w:color="auto"/>
        </w:pBdr>
        <w:spacing w:before="100" w:beforeAutospacing="1" w:after="120"/>
        <w:jc w:val="both"/>
        <w:rPr>
          <w:rFonts w:cs="Calibri"/>
          <w:b/>
          <w:bCs/>
          <w:sz w:val="24"/>
        </w:rPr>
      </w:pPr>
      <w:r w:rsidRPr="00745C1D">
        <w:rPr>
          <w:rFonts w:cs="Calibri"/>
          <w:b/>
          <w:bCs/>
          <w:sz w:val="24"/>
        </w:rPr>
        <w:t>Recommendation 1: That the authorisation period be retained at three years– not six years as proposed by APRA</w:t>
      </w:r>
    </w:p>
    <w:p w:rsidR="00745C1D" w:rsidRPr="00745C1D" w:rsidRDefault="00745C1D" w:rsidP="00745C1D">
      <w:pPr>
        <w:spacing w:before="100" w:beforeAutospacing="1" w:after="120"/>
        <w:jc w:val="both"/>
        <w:rPr>
          <w:rFonts w:cs="Calibri"/>
          <w:b/>
          <w:bCs/>
          <w:color w:val="4BACC6"/>
          <w:sz w:val="28"/>
        </w:rPr>
      </w:pPr>
    </w:p>
    <w:p w:rsidR="00745C1D" w:rsidRDefault="00745C1D" w:rsidP="00745C1D">
      <w:pPr>
        <w:spacing w:before="100" w:beforeAutospacing="1" w:after="120"/>
        <w:jc w:val="both"/>
        <w:rPr>
          <w:rFonts w:cs="Calibri"/>
          <w:b/>
          <w:bCs/>
          <w:color w:val="4BACC6"/>
          <w:sz w:val="28"/>
          <w:szCs w:val="28"/>
        </w:rPr>
      </w:pPr>
    </w:p>
    <w:p w:rsidR="00745C1D" w:rsidRDefault="00745C1D" w:rsidP="00745C1D">
      <w:pPr>
        <w:spacing w:before="100" w:beforeAutospacing="1" w:after="120"/>
        <w:jc w:val="both"/>
        <w:rPr>
          <w:rFonts w:cs="Calibri"/>
          <w:b/>
          <w:bCs/>
          <w:color w:val="4BACC6"/>
          <w:sz w:val="28"/>
          <w:szCs w:val="28"/>
        </w:rPr>
      </w:pPr>
    </w:p>
    <w:p w:rsidR="00745C1D" w:rsidRDefault="00745C1D" w:rsidP="00745C1D">
      <w:pPr>
        <w:spacing w:before="100" w:beforeAutospacing="1" w:after="120"/>
        <w:jc w:val="both"/>
        <w:rPr>
          <w:rFonts w:cs="Calibri"/>
          <w:b/>
          <w:bCs/>
          <w:color w:val="4BACC6"/>
          <w:sz w:val="28"/>
          <w:szCs w:val="28"/>
        </w:rPr>
      </w:pPr>
    </w:p>
    <w:p w:rsidR="00745C1D" w:rsidRDefault="00745C1D" w:rsidP="00745C1D">
      <w:pPr>
        <w:spacing w:before="100" w:beforeAutospacing="1" w:after="120"/>
        <w:jc w:val="both"/>
        <w:rPr>
          <w:rFonts w:cs="Calibri"/>
          <w:b/>
          <w:bCs/>
          <w:color w:val="4BACC6"/>
          <w:sz w:val="28"/>
          <w:szCs w:val="28"/>
        </w:rPr>
      </w:pPr>
    </w:p>
    <w:p w:rsidR="00745C1D" w:rsidRDefault="00745C1D" w:rsidP="00745C1D">
      <w:pPr>
        <w:spacing w:before="100" w:beforeAutospacing="1" w:after="120"/>
        <w:jc w:val="both"/>
        <w:rPr>
          <w:rFonts w:cs="Calibri"/>
          <w:b/>
          <w:bCs/>
          <w:color w:val="4BACC6"/>
          <w:sz w:val="28"/>
          <w:szCs w:val="28"/>
        </w:rPr>
      </w:pPr>
    </w:p>
    <w:p w:rsidR="00745C1D" w:rsidRDefault="00745C1D" w:rsidP="00745C1D">
      <w:pPr>
        <w:spacing w:before="100" w:beforeAutospacing="1" w:after="120"/>
        <w:jc w:val="both"/>
        <w:rPr>
          <w:rFonts w:cs="Calibri"/>
          <w:b/>
          <w:bCs/>
          <w:color w:val="4BACC6"/>
          <w:sz w:val="28"/>
          <w:szCs w:val="28"/>
        </w:rPr>
      </w:pPr>
    </w:p>
    <w:p w:rsidR="00745C1D" w:rsidRDefault="00745C1D" w:rsidP="00745C1D">
      <w:pPr>
        <w:spacing w:before="100" w:beforeAutospacing="1" w:after="120"/>
        <w:jc w:val="both"/>
        <w:rPr>
          <w:rFonts w:cs="Calibri"/>
          <w:b/>
          <w:bCs/>
          <w:color w:val="4BACC6"/>
          <w:sz w:val="28"/>
          <w:szCs w:val="28"/>
        </w:rPr>
      </w:pPr>
    </w:p>
    <w:p w:rsidR="00745C1D" w:rsidRDefault="00745C1D" w:rsidP="00745C1D">
      <w:pPr>
        <w:spacing w:before="100" w:beforeAutospacing="1" w:after="120"/>
        <w:jc w:val="both"/>
        <w:rPr>
          <w:rFonts w:cs="Calibri"/>
          <w:b/>
          <w:bCs/>
          <w:color w:val="4BACC6"/>
          <w:sz w:val="28"/>
          <w:szCs w:val="28"/>
        </w:rPr>
      </w:pPr>
    </w:p>
    <w:p w:rsidR="00745C1D" w:rsidRDefault="00745C1D" w:rsidP="00745C1D">
      <w:pPr>
        <w:spacing w:before="100" w:beforeAutospacing="1" w:after="120"/>
        <w:jc w:val="both"/>
        <w:rPr>
          <w:rFonts w:cs="Calibri"/>
          <w:b/>
          <w:bCs/>
          <w:color w:val="4BACC6"/>
          <w:sz w:val="28"/>
          <w:szCs w:val="28"/>
        </w:rPr>
      </w:pPr>
      <w:r w:rsidRPr="00745C1D">
        <w:rPr>
          <w:rFonts w:cs="Calibri"/>
          <w:b/>
          <w:bCs/>
          <w:color w:val="4BACC6"/>
          <w:sz w:val="28"/>
          <w:szCs w:val="28"/>
        </w:rPr>
        <w:t xml:space="preserve">B. By virtue of their monopoly </w:t>
      </w:r>
      <w:r>
        <w:rPr>
          <w:rFonts w:cs="Calibri"/>
          <w:b/>
          <w:bCs/>
          <w:color w:val="4BACC6"/>
          <w:sz w:val="28"/>
          <w:szCs w:val="28"/>
        </w:rPr>
        <w:t>in</w:t>
      </w:r>
      <w:r w:rsidRPr="00745C1D">
        <w:rPr>
          <w:rFonts w:cs="Calibri"/>
          <w:b/>
          <w:bCs/>
          <w:color w:val="4BACC6"/>
          <w:sz w:val="28"/>
          <w:szCs w:val="28"/>
        </w:rPr>
        <w:t xml:space="preserve"> performance-rights licensing, they are able to set licence fees without consideration as to what a competitive price may be</w:t>
      </w:r>
      <w:r>
        <w:rPr>
          <w:rFonts w:cs="Calibri"/>
          <w:b/>
          <w:bCs/>
          <w:color w:val="4BACC6"/>
          <w:sz w:val="28"/>
          <w:szCs w:val="28"/>
        </w:rPr>
        <w:t>.</w:t>
      </w:r>
    </w:p>
    <w:p w:rsidR="00745C1D" w:rsidRPr="00745C1D" w:rsidRDefault="00745C1D" w:rsidP="00745C1D">
      <w:pPr>
        <w:spacing w:before="100" w:beforeAutospacing="1" w:after="120"/>
        <w:jc w:val="both"/>
        <w:rPr>
          <w:rFonts w:cs="Calibri"/>
          <w:sz w:val="24"/>
          <w:szCs w:val="22"/>
        </w:rPr>
      </w:pPr>
      <w:r w:rsidRPr="00745C1D">
        <w:rPr>
          <w:rFonts w:cs="Calibri"/>
          <w:sz w:val="24"/>
          <w:szCs w:val="22"/>
        </w:rPr>
        <w:t>APRA submits that their arrangements do not lead to prices impermissibly above competitive levels</w:t>
      </w:r>
      <w:r w:rsidRPr="00745C1D">
        <w:rPr>
          <w:rStyle w:val="FootnoteReference"/>
          <w:rFonts w:cs="Calibri"/>
          <w:sz w:val="24"/>
          <w:szCs w:val="22"/>
        </w:rPr>
        <w:footnoteReference w:id="14"/>
      </w:r>
      <w:r w:rsidRPr="00745C1D">
        <w:rPr>
          <w:rFonts w:cs="Calibri"/>
          <w:sz w:val="24"/>
          <w:szCs w:val="22"/>
        </w:rPr>
        <w:t xml:space="preserve">. In responding to the ACCC’s 2010 findings in this area, APRA notes that copyright, </w:t>
      </w:r>
      <w:bookmarkStart w:id="0" w:name="_GoBack"/>
      <w:bookmarkEnd w:id="0"/>
    </w:p>
    <w:p w:rsidR="00745C1D" w:rsidRPr="00745C1D" w:rsidRDefault="00745C1D" w:rsidP="00745C1D">
      <w:pPr>
        <w:spacing w:before="100" w:beforeAutospacing="1" w:after="120"/>
        <w:ind w:left="720"/>
        <w:jc w:val="both"/>
        <w:rPr>
          <w:rFonts w:cs="Calibri"/>
          <w:sz w:val="24"/>
          <w:szCs w:val="22"/>
        </w:rPr>
      </w:pPr>
      <w:r w:rsidRPr="00745C1D">
        <w:rPr>
          <w:rFonts w:cs="Calibri"/>
          <w:sz w:val="24"/>
          <w:szCs w:val="22"/>
        </w:rPr>
        <w:t>‘at its heart, is a statutory form of monopoly conferred on the copyright owner and can thus be seen as intended to permit the copyright owner to have market power and extract monopoly rents.’</w:t>
      </w:r>
      <w:r w:rsidRPr="00745C1D">
        <w:rPr>
          <w:rStyle w:val="FootnoteReference"/>
          <w:rFonts w:cs="Calibri"/>
          <w:sz w:val="24"/>
          <w:szCs w:val="22"/>
        </w:rPr>
        <w:footnoteReference w:id="15"/>
      </w:r>
    </w:p>
    <w:p w:rsidR="00745C1D" w:rsidRPr="00745C1D" w:rsidRDefault="00745C1D" w:rsidP="00745C1D">
      <w:pPr>
        <w:spacing w:before="100" w:beforeAutospacing="1" w:after="120"/>
        <w:jc w:val="both"/>
        <w:rPr>
          <w:rFonts w:cs="Calibri"/>
          <w:sz w:val="24"/>
          <w:szCs w:val="22"/>
        </w:rPr>
      </w:pPr>
      <w:r w:rsidRPr="00745C1D">
        <w:rPr>
          <w:rFonts w:cs="Calibri"/>
          <w:sz w:val="24"/>
          <w:szCs w:val="22"/>
        </w:rPr>
        <w:t xml:space="preserve">Copyright owners do have the exclusive right to exploit their particular work (and set monopoly rents). They also have the right to set that exclusivity aside – to waive those rights under a creative commons licence, or for public interest purposes. </w:t>
      </w:r>
    </w:p>
    <w:p w:rsidR="00745C1D" w:rsidRPr="00745C1D" w:rsidRDefault="00745C1D" w:rsidP="00745C1D">
      <w:pPr>
        <w:spacing w:before="100" w:beforeAutospacing="1" w:after="120"/>
        <w:jc w:val="both"/>
        <w:rPr>
          <w:rFonts w:cs="Calibri"/>
          <w:sz w:val="24"/>
          <w:szCs w:val="22"/>
        </w:rPr>
      </w:pPr>
      <w:r w:rsidRPr="00745C1D">
        <w:rPr>
          <w:rFonts w:cs="Calibri"/>
          <w:sz w:val="24"/>
          <w:szCs w:val="22"/>
        </w:rPr>
        <w:t xml:space="preserve">APRA, however, manage exclusive licences for a range of creators who might otherwise be in competition with each other. They are not copyright owners with respect to a small percentage of musical works, competing within a broader market – APRA hold a virtual monopoly over performance-rights licensing in Australia. Further, they do not operate like individual copyright holders who may elect, in some circumstances, to waive their right to payment for certain uses of their works (either via creative commons licensing or other direct licensing). </w:t>
      </w:r>
    </w:p>
    <w:p w:rsidR="00745C1D" w:rsidRPr="00745C1D" w:rsidRDefault="00745C1D" w:rsidP="00745C1D">
      <w:pPr>
        <w:spacing w:before="100" w:beforeAutospacing="1" w:after="120"/>
        <w:jc w:val="both"/>
        <w:rPr>
          <w:rFonts w:cs="Calibri"/>
          <w:sz w:val="24"/>
          <w:szCs w:val="22"/>
        </w:rPr>
      </w:pPr>
      <w:r w:rsidRPr="00745C1D">
        <w:rPr>
          <w:rFonts w:cs="Calibri"/>
          <w:sz w:val="24"/>
          <w:szCs w:val="22"/>
        </w:rPr>
        <w:t xml:space="preserve">By virtue of APRA’s arrangements, there is no competitive market for performing rights licensing in Australia, and no competitive level to constrain their pricing. </w:t>
      </w:r>
    </w:p>
    <w:p w:rsidR="00745C1D" w:rsidRPr="00745C1D" w:rsidRDefault="00745C1D" w:rsidP="00745C1D">
      <w:pPr>
        <w:spacing w:before="100" w:beforeAutospacing="1" w:after="120"/>
        <w:jc w:val="both"/>
        <w:rPr>
          <w:rFonts w:cs="Calibri"/>
          <w:sz w:val="24"/>
          <w:szCs w:val="22"/>
        </w:rPr>
      </w:pPr>
      <w:r w:rsidRPr="00745C1D">
        <w:rPr>
          <w:rFonts w:cs="Calibri"/>
          <w:sz w:val="24"/>
          <w:szCs w:val="22"/>
        </w:rPr>
        <w:t xml:space="preserve">APRA’s ability to potentially set prices above acceptable competitive levels is most evident in the administration of blanket licences. </w:t>
      </w:r>
    </w:p>
    <w:p w:rsidR="00745C1D" w:rsidRDefault="00745C1D" w:rsidP="00745C1D">
      <w:pPr>
        <w:spacing w:before="100" w:beforeAutospacing="1" w:after="120"/>
        <w:jc w:val="both"/>
        <w:rPr>
          <w:rFonts w:cs="Calibri"/>
          <w:i/>
          <w:iCs/>
          <w:sz w:val="24"/>
          <w:szCs w:val="22"/>
        </w:rPr>
      </w:pPr>
    </w:p>
    <w:p w:rsidR="00745C1D" w:rsidRDefault="00745C1D" w:rsidP="00745C1D">
      <w:pPr>
        <w:spacing w:before="100" w:beforeAutospacing="1" w:after="120"/>
        <w:jc w:val="both"/>
        <w:rPr>
          <w:rFonts w:cs="Calibri"/>
          <w:i/>
          <w:iCs/>
          <w:sz w:val="24"/>
          <w:szCs w:val="22"/>
        </w:rPr>
      </w:pPr>
    </w:p>
    <w:p w:rsidR="00745C1D" w:rsidRPr="00745C1D" w:rsidRDefault="00745C1D" w:rsidP="00745C1D">
      <w:pPr>
        <w:spacing w:before="100" w:beforeAutospacing="1" w:after="120"/>
        <w:jc w:val="both"/>
        <w:rPr>
          <w:rFonts w:cs="Calibri"/>
          <w:i/>
          <w:iCs/>
          <w:sz w:val="24"/>
          <w:szCs w:val="22"/>
        </w:rPr>
      </w:pPr>
      <w:r w:rsidRPr="00745C1D">
        <w:rPr>
          <w:rFonts w:cs="Calibri"/>
          <w:i/>
          <w:iCs/>
          <w:sz w:val="24"/>
          <w:szCs w:val="22"/>
        </w:rPr>
        <w:t>Blanket licensing, and changes to APRA supplier arrangements</w:t>
      </w:r>
    </w:p>
    <w:p w:rsidR="00745C1D" w:rsidRPr="00745C1D" w:rsidRDefault="00745C1D" w:rsidP="00745C1D">
      <w:pPr>
        <w:spacing w:before="100" w:beforeAutospacing="1" w:after="120"/>
        <w:jc w:val="both"/>
        <w:rPr>
          <w:rFonts w:cs="Calibri"/>
          <w:sz w:val="24"/>
          <w:szCs w:val="22"/>
        </w:rPr>
      </w:pPr>
      <w:r w:rsidRPr="00745C1D">
        <w:rPr>
          <w:rFonts w:cs="Calibri"/>
          <w:sz w:val="24"/>
          <w:szCs w:val="22"/>
        </w:rPr>
        <w:t>Blanket licences are of benefit to a number of music licensees, in significantly reducing transaction costs. For many APRA licensees, like cafes and hotels who do not know in advance what background music they’ll play, the APRA background music blanket licence is their only solution to avoid infringing a creator’s performance rights. As the ACCC noted in their submission to the ALRC Inquiry into Copyright and the Digital Economy, this can give rise to anti-competitive concerns:</w:t>
      </w:r>
    </w:p>
    <w:p w:rsidR="00745C1D" w:rsidRPr="00745C1D" w:rsidRDefault="00745C1D" w:rsidP="00745C1D">
      <w:pPr>
        <w:spacing w:before="100" w:beforeAutospacing="1" w:after="120"/>
        <w:ind w:left="720"/>
        <w:jc w:val="both"/>
        <w:rPr>
          <w:rFonts w:cs="Calibri"/>
          <w:sz w:val="24"/>
          <w:szCs w:val="22"/>
        </w:rPr>
      </w:pPr>
      <w:r w:rsidRPr="00745C1D">
        <w:rPr>
          <w:rFonts w:cs="Calibri"/>
          <w:sz w:val="24"/>
          <w:szCs w:val="22"/>
        </w:rPr>
        <w:t xml:space="preserve">“Users </w:t>
      </w:r>
      <w:r w:rsidRPr="00745C1D">
        <w:rPr>
          <w:rFonts w:cs="Calibri"/>
          <w:sz w:val="24"/>
        </w:rPr>
        <w:t>have no genuine alternative means of acquiring a licence to use copyright materials, and collecting societies are able to set prices for access to copyright material without consideration as to what the efficient price of those rights would be.”</w:t>
      </w:r>
      <w:r w:rsidRPr="00745C1D">
        <w:rPr>
          <w:rStyle w:val="FootnoteReference"/>
          <w:rFonts w:cs="Calibri"/>
          <w:sz w:val="24"/>
        </w:rPr>
        <w:footnoteReference w:id="16"/>
      </w:r>
    </w:p>
    <w:p w:rsidR="00745C1D" w:rsidRPr="00745C1D" w:rsidRDefault="00745C1D" w:rsidP="00745C1D">
      <w:pPr>
        <w:spacing w:before="100" w:beforeAutospacing="1" w:after="120"/>
        <w:jc w:val="both"/>
        <w:rPr>
          <w:rFonts w:cs="Calibri"/>
          <w:sz w:val="24"/>
          <w:szCs w:val="22"/>
        </w:rPr>
      </w:pPr>
      <w:r w:rsidRPr="00745C1D">
        <w:rPr>
          <w:rFonts w:cs="Calibri"/>
          <w:sz w:val="24"/>
          <w:szCs w:val="22"/>
        </w:rPr>
        <w:t xml:space="preserve">In many cases, smaller licensees of background music have no choice but to accept the price set by APRA  - there is no alternative means, i.e. through direct dealing or through another collecting society, to negotiate a more competitive price. </w:t>
      </w:r>
    </w:p>
    <w:p w:rsidR="00745C1D" w:rsidRPr="00745C1D" w:rsidRDefault="00745C1D" w:rsidP="00745C1D">
      <w:pPr>
        <w:spacing w:before="100" w:beforeAutospacing="1" w:after="120"/>
        <w:jc w:val="both"/>
        <w:rPr>
          <w:rFonts w:cs="Calibri"/>
          <w:sz w:val="24"/>
          <w:szCs w:val="22"/>
        </w:rPr>
      </w:pPr>
      <w:r w:rsidRPr="00745C1D">
        <w:rPr>
          <w:rFonts w:cs="Calibri"/>
          <w:sz w:val="24"/>
          <w:szCs w:val="22"/>
        </w:rPr>
        <w:t xml:space="preserve">Hon KE Lindgren AM, QC identified the vulnerability of small licensees in his </w:t>
      </w:r>
      <w:r w:rsidRPr="00745C1D">
        <w:rPr>
          <w:rFonts w:cs="Calibri"/>
          <w:i/>
          <w:iCs/>
          <w:sz w:val="24"/>
          <w:szCs w:val="22"/>
        </w:rPr>
        <w:t>Review of Copyright Collecting Societies’ Compliance with their Code of Conduct 2011 – 2012</w:t>
      </w:r>
      <w:r w:rsidRPr="00745C1D">
        <w:rPr>
          <w:rFonts w:cs="Calibri"/>
          <w:sz w:val="24"/>
          <w:szCs w:val="22"/>
        </w:rPr>
        <w:t>:</w:t>
      </w:r>
    </w:p>
    <w:p w:rsidR="00745C1D" w:rsidRPr="00745C1D" w:rsidRDefault="00745C1D" w:rsidP="00745C1D">
      <w:pPr>
        <w:spacing w:before="100" w:beforeAutospacing="1" w:after="120"/>
        <w:ind w:left="720"/>
        <w:jc w:val="both"/>
        <w:rPr>
          <w:rFonts w:cs="Calibri"/>
          <w:sz w:val="24"/>
          <w:szCs w:val="22"/>
        </w:rPr>
      </w:pPr>
      <w:r w:rsidRPr="00745C1D">
        <w:rPr>
          <w:rFonts w:cs="Calibri"/>
          <w:bCs/>
          <w:sz w:val="24"/>
        </w:rPr>
        <w:t>“Sophisticated national broadcasters and telecommunications companies are to be contrasted with small business operators who have less knowledge of copyright law and perhaps limited access to specialist legal advice.”</w:t>
      </w:r>
      <w:r w:rsidRPr="00745C1D">
        <w:rPr>
          <w:rStyle w:val="FootnoteReference"/>
          <w:rFonts w:cs="Calibri"/>
          <w:sz w:val="24"/>
        </w:rPr>
        <w:footnoteReference w:id="17"/>
      </w:r>
    </w:p>
    <w:p w:rsidR="00745C1D" w:rsidRPr="00745C1D" w:rsidRDefault="00745C1D" w:rsidP="00745C1D">
      <w:pPr>
        <w:spacing w:before="100" w:beforeAutospacing="1" w:after="120"/>
        <w:jc w:val="both"/>
        <w:rPr>
          <w:rFonts w:cs="Calibri"/>
          <w:sz w:val="24"/>
          <w:szCs w:val="22"/>
        </w:rPr>
      </w:pPr>
      <w:r w:rsidRPr="00745C1D">
        <w:rPr>
          <w:rFonts w:cs="Calibri"/>
          <w:sz w:val="24"/>
          <w:szCs w:val="22"/>
        </w:rPr>
        <w:t xml:space="preserve">However, some smaller licensees are able to manage their performance of background music in commercial settings through arrangements with suppliers, who negotiate on their behalf with APRA. APRA identifies some of these suppliers </w:t>
      </w:r>
      <w:r w:rsidRPr="00745C1D">
        <w:rPr>
          <w:rFonts w:cs="Calibri"/>
          <w:sz w:val="24"/>
          <w:szCs w:val="22"/>
        </w:rPr>
        <w:lastRenderedPageBreak/>
        <w:t xml:space="preserve">in their report on distribution practices (updated July 2012), which include </w:t>
      </w:r>
      <w:r w:rsidRPr="00745C1D">
        <w:rPr>
          <w:rFonts w:cs="Calibri"/>
          <w:i/>
          <w:iCs/>
          <w:sz w:val="24"/>
          <w:szCs w:val="22"/>
        </w:rPr>
        <w:t>SMA, Mood Media (DMX), Coles, Big W, SBA &amp; Marketing Melodies.</w:t>
      </w:r>
      <w:r w:rsidRPr="00745C1D">
        <w:rPr>
          <w:rStyle w:val="FootnoteReference"/>
          <w:rFonts w:cs="Calibri"/>
          <w:i/>
          <w:iCs/>
          <w:sz w:val="24"/>
          <w:szCs w:val="22"/>
        </w:rPr>
        <w:footnoteReference w:id="18"/>
      </w:r>
      <w:r w:rsidRPr="00745C1D">
        <w:rPr>
          <w:rFonts w:cs="Calibri"/>
          <w:i/>
          <w:iCs/>
          <w:sz w:val="24"/>
          <w:szCs w:val="22"/>
        </w:rPr>
        <w:t xml:space="preserve"> </w:t>
      </w:r>
      <w:r w:rsidRPr="00745C1D">
        <w:rPr>
          <w:rFonts w:cs="Calibri"/>
          <w:sz w:val="24"/>
          <w:szCs w:val="22"/>
        </w:rPr>
        <w:t xml:space="preserve">For smaller potential licensees, background music supply companies might act as a “buffer” between APRA and an individual bar or restaurant, who may have little knowledge of copyright law and what would constitute a reasonable tariff.  The ADA and ALCC note, per APRA’s Distribution Practices Manual, that these suppliers also offer remuneration efficiency and accuracy for APRA: licence fees paid by each supplier are able to be distributed </w:t>
      </w:r>
      <w:r w:rsidRPr="00745C1D">
        <w:rPr>
          <w:rFonts w:cs="Calibri"/>
          <w:sz w:val="24"/>
          <w:szCs w:val="22"/>
          <w:u w:val="single"/>
        </w:rPr>
        <w:t xml:space="preserve">directly </w:t>
      </w:r>
      <w:r w:rsidRPr="00745C1D">
        <w:rPr>
          <w:rFonts w:cs="Calibri"/>
          <w:sz w:val="24"/>
          <w:szCs w:val="22"/>
        </w:rPr>
        <w:t>to the works they report to APRA.</w:t>
      </w:r>
      <w:r w:rsidRPr="00745C1D">
        <w:rPr>
          <w:rStyle w:val="FootnoteReference"/>
          <w:rFonts w:cs="Calibri"/>
          <w:sz w:val="24"/>
          <w:szCs w:val="22"/>
        </w:rPr>
        <w:footnoteReference w:id="19"/>
      </w:r>
      <w:r w:rsidRPr="00745C1D">
        <w:rPr>
          <w:rFonts w:cs="Calibri"/>
          <w:sz w:val="24"/>
          <w:szCs w:val="22"/>
        </w:rPr>
        <w:t xml:space="preserve"> Suppliers are able to identify every work being played, and provide accurate ‘per play’ data to APRA – ensuring fair and accurate remuneration to APRA members.</w:t>
      </w:r>
    </w:p>
    <w:p w:rsidR="00745C1D" w:rsidRPr="00745C1D" w:rsidRDefault="00745C1D" w:rsidP="00745C1D">
      <w:pPr>
        <w:spacing w:before="100" w:beforeAutospacing="1" w:after="120"/>
        <w:jc w:val="both"/>
        <w:rPr>
          <w:rFonts w:cs="Calibri"/>
          <w:i/>
          <w:iCs/>
          <w:sz w:val="24"/>
          <w:szCs w:val="22"/>
        </w:rPr>
      </w:pPr>
      <w:r w:rsidRPr="00745C1D">
        <w:rPr>
          <w:rFonts w:cs="Calibri"/>
          <w:i/>
          <w:iCs/>
          <w:sz w:val="24"/>
          <w:szCs w:val="22"/>
        </w:rPr>
        <w:t>APRA changes to background music supplier licence agreements</w:t>
      </w:r>
    </w:p>
    <w:p w:rsidR="00745C1D" w:rsidRPr="00745C1D" w:rsidRDefault="00745C1D" w:rsidP="00745C1D">
      <w:pPr>
        <w:spacing w:before="100" w:beforeAutospacing="1" w:after="120"/>
        <w:jc w:val="both"/>
        <w:rPr>
          <w:rFonts w:cs="Calibri"/>
          <w:sz w:val="24"/>
          <w:szCs w:val="22"/>
        </w:rPr>
      </w:pPr>
      <w:r w:rsidRPr="00745C1D">
        <w:rPr>
          <w:rFonts w:cs="Calibri"/>
          <w:sz w:val="24"/>
          <w:szCs w:val="22"/>
        </w:rPr>
        <w:t>Taking into account suppliers’ abilities to shield smaller licensees from what might otherwise be anti-competitive, or misleading, pricing by APRA, and to provide accurate reporting data, the ADA and ALCC would value more information from APRA regarding their reasoning behind recent changes to background music supplier (BMS) agreements, which reduces the rebate to BMS licensees from 15% on APRA licence fees, to 5%.</w:t>
      </w:r>
      <w:r w:rsidRPr="00745C1D">
        <w:rPr>
          <w:rStyle w:val="FootnoteReference"/>
          <w:rFonts w:cs="Calibri"/>
          <w:sz w:val="24"/>
          <w:szCs w:val="22"/>
        </w:rPr>
        <w:footnoteReference w:id="20"/>
      </w:r>
    </w:p>
    <w:p w:rsidR="00745C1D" w:rsidRPr="00745C1D" w:rsidRDefault="00745C1D" w:rsidP="00745C1D">
      <w:pPr>
        <w:spacing w:before="100" w:beforeAutospacing="1" w:after="120"/>
        <w:jc w:val="both"/>
        <w:rPr>
          <w:rFonts w:cs="Calibri"/>
          <w:bCs/>
          <w:sz w:val="24"/>
          <w:szCs w:val="22"/>
        </w:rPr>
      </w:pPr>
      <w:r w:rsidRPr="00745C1D">
        <w:rPr>
          <w:rFonts w:cs="Calibri"/>
          <w:bCs/>
          <w:sz w:val="24"/>
        </w:rPr>
        <w:t>The ADA and ALCC are concerned that further changes to the BMS arrangements (and reduction of rebate) may ultimately force suppliers out of APRA arrangements.</w:t>
      </w:r>
    </w:p>
    <w:p w:rsidR="00745C1D" w:rsidRPr="00745C1D" w:rsidRDefault="00745C1D" w:rsidP="00745C1D">
      <w:pPr>
        <w:spacing w:before="100" w:beforeAutospacing="1" w:after="120"/>
        <w:jc w:val="both"/>
        <w:rPr>
          <w:rFonts w:cs="Calibri"/>
          <w:sz w:val="24"/>
          <w:szCs w:val="22"/>
        </w:rPr>
      </w:pPr>
      <w:r w:rsidRPr="00745C1D">
        <w:rPr>
          <w:rFonts w:cs="Calibri"/>
          <w:sz w:val="24"/>
          <w:szCs w:val="22"/>
        </w:rPr>
        <w:t>The ADA and ALCC note that this reduction in rebate was the subject of one of the disputes reported by APRA to the ACCC.</w:t>
      </w:r>
      <w:r w:rsidRPr="00745C1D">
        <w:rPr>
          <w:rStyle w:val="FootnoteReference"/>
          <w:rFonts w:cs="Calibri"/>
          <w:sz w:val="24"/>
          <w:szCs w:val="22"/>
        </w:rPr>
        <w:footnoteReference w:id="21"/>
      </w:r>
      <w:r w:rsidRPr="00745C1D">
        <w:rPr>
          <w:rFonts w:cs="Calibri"/>
          <w:sz w:val="24"/>
          <w:szCs w:val="22"/>
        </w:rPr>
        <w:t xml:space="preserve"> While it is reasonable to expect renegotiation of licenses by APRA, the ADA/ALCC has concerns that given APRA’s market power, they are able to set tariffs for BMS licensees that make it difficult or unfeasible for them to continue to operate as a supplier on behalf of otherwise vulnerable small licensees. Any conduct by APRA that reduces the ability of </w:t>
      </w:r>
      <w:r w:rsidRPr="00745C1D">
        <w:rPr>
          <w:rFonts w:cs="Calibri"/>
          <w:sz w:val="24"/>
          <w:szCs w:val="22"/>
        </w:rPr>
        <w:lastRenderedPageBreak/>
        <w:t xml:space="preserve">suppliers to license with APRA on behalf of a pool of smaller commercial end-users, who may otherwise be exposed to higher individual tariffs, should be subject to closest scrutiny by APRA. </w:t>
      </w:r>
    </w:p>
    <w:p w:rsidR="00745C1D" w:rsidRPr="00745C1D" w:rsidRDefault="00745C1D" w:rsidP="00745C1D">
      <w:pPr>
        <w:spacing w:before="100" w:beforeAutospacing="1" w:after="120"/>
        <w:jc w:val="both"/>
        <w:rPr>
          <w:rFonts w:cs="Calibri"/>
          <w:sz w:val="24"/>
          <w:szCs w:val="22"/>
        </w:rPr>
      </w:pPr>
      <w:r w:rsidRPr="00745C1D">
        <w:rPr>
          <w:rFonts w:cs="Calibri"/>
          <w:sz w:val="24"/>
          <w:szCs w:val="22"/>
        </w:rPr>
        <w:t>The ADA/ALCC note that with regard to the Dispute outlined by APRA to the ACCC, APRA advised the complainant that it was open for them to refer the proposed scheme to Expert Determination or the Copyright Tribunal. The ADA/ALCC do not know whether this will occur, but note there are considerable costs and resource constraints to be considered in taking either direction.</w:t>
      </w:r>
    </w:p>
    <w:p w:rsidR="00745C1D" w:rsidRPr="00745C1D" w:rsidRDefault="00745C1D" w:rsidP="00745C1D">
      <w:pPr>
        <w:pBdr>
          <w:top w:val="single" w:sz="4" w:space="1" w:color="auto"/>
          <w:left w:val="single" w:sz="4" w:space="4" w:color="auto"/>
          <w:bottom w:val="single" w:sz="4" w:space="1" w:color="auto"/>
          <w:right w:val="single" w:sz="4" w:space="4" w:color="auto"/>
        </w:pBdr>
        <w:spacing w:before="100" w:beforeAutospacing="1" w:after="120"/>
        <w:jc w:val="both"/>
        <w:rPr>
          <w:rFonts w:cs="Calibri"/>
          <w:b/>
          <w:bCs/>
          <w:sz w:val="24"/>
          <w:szCs w:val="22"/>
        </w:rPr>
      </w:pPr>
      <w:r w:rsidRPr="00745C1D">
        <w:rPr>
          <w:rFonts w:cs="Calibri"/>
          <w:b/>
          <w:bCs/>
          <w:sz w:val="24"/>
          <w:szCs w:val="22"/>
        </w:rPr>
        <w:t>Recommendation 2: ACCC should seek further information from APRA regarding reasons behind changes to their BMS licensing arrangements</w:t>
      </w:r>
    </w:p>
    <w:p w:rsidR="00745C1D" w:rsidRPr="00745C1D" w:rsidRDefault="00745C1D" w:rsidP="00745C1D">
      <w:pPr>
        <w:spacing w:before="100" w:beforeAutospacing="1" w:after="120"/>
        <w:jc w:val="both"/>
        <w:rPr>
          <w:rFonts w:cs="Calibri"/>
          <w:sz w:val="24"/>
          <w:szCs w:val="22"/>
        </w:rPr>
      </w:pPr>
      <w:r w:rsidRPr="00745C1D">
        <w:rPr>
          <w:rFonts w:cs="Calibri"/>
          <w:sz w:val="24"/>
          <w:szCs w:val="22"/>
        </w:rPr>
        <w:t>The ADA and ALCC believe there remains significant public benefit in blanket licensing, but maintain that by virtue of APRA’s monopoly position in the market, they are able to set prices above what might otherwise be competitive levels. In these circumstances, APRA should be subject to close scrutiny by the ACCC to ensure that the public detriment resulting from these arrangements does not outweigh the public benefit.</w:t>
      </w:r>
    </w:p>
    <w:p w:rsidR="00745C1D" w:rsidRPr="00745C1D" w:rsidRDefault="00745C1D" w:rsidP="00745C1D">
      <w:pPr>
        <w:spacing w:before="100" w:beforeAutospacing="1" w:after="120"/>
        <w:jc w:val="both"/>
        <w:rPr>
          <w:rFonts w:cs="Calibri"/>
          <w:sz w:val="24"/>
          <w:szCs w:val="22"/>
        </w:rPr>
      </w:pPr>
      <w:r w:rsidRPr="00745C1D">
        <w:rPr>
          <w:rFonts w:cs="Calibri"/>
          <w:sz w:val="24"/>
          <w:szCs w:val="22"/>
        </w:rPr>
        <w:t>The ADA and ALCC note that APRA anticipates that they will be in a position to be more flexible with their blanket licences and their pricing in future, as the costs in ascertaining proportions of APRA and non-APRA controlled works used by a licensee decrease.</w:t>
      </w:r>
      <w:r w:rsidRPr="00745C1D">
        <w:rPr>
          <w:rStyle w:val="FootnoteReference"/>
          <w:rFonts w:cs="Calibri"/>
          <w:sz w:val="24"/>
          <w:szCs w:val="22"/>
        </w:rPr>
        <w:footnoteReference w:id="22"/>
      </w:r>
      <w:r w:rsidRPr="00745C1D">
        <w:rPr>
          <w:rFonts w:cs="Calibri"/>
          <w:sz w:val="24"/>
          <w:szCs w:val="22"/>
        </w:rPr>
        <w:t xml:space="preserve"> The ADA and ALCC look forward to hearing more examples of these reductions in cost from members and non-members affected by the present arrangements. APRA’s indications argue more strongly for a three year authorization term, to enable monitoring by ACCC of these blanket licensing changes as they take effect. </w:t>
      </w:r>
    </w:p>
    <w:p w:rsidR="00745C1D" w:rsidRPr="00745C1D" w:rsidRDefault="00745C1D" w:rsidP="00745C1D">
      <w:pPr>
        <w:spacing w:before="100" w:beforeAutospacing="1" w:after="120"/>
        <w:jc w:val="both"/>
        <w:rPr>
          <w:rFonts w:cs="Calibri"/>
          <w:b/>
          <w:color w:val="4BACC6"/>
          <w:sz w:val="24"/>
        </w:rPr>
      </w:pPr>
      <w:r w:rsidRPr="00745C1D">
        <w:rPr>
          <w:rFonts w:cs="Calibri"/>
          <w:b/>
          <w:color w:val="4BACC6"/>
          <w:sz w:val="24"/>
        </w:rPr>
        <w:t>C. Transparency – access to transparent distribution and revenue data would benefit licensees negotiating competitive prices with APRA</w:t>
      </w:r>
    </w:p>
    <w:p w:rsidR="00745C1D" w:rsidRPr="00745C1D" w:rsidRDefault="00745C1D" w:rsidP="00745C1D">
      <w:pPr>
        <w:spacing w:before="100" w:beforeAutospacing="1" w:after="120"/>
        <w:jc w:val="both"/>
        <w:rPr>
          <w:rFonts w:cs="Calibri"/>
          <w:bCs/>
          <w:sz w:val="24"/>
        </w:rPr>
      </w:pPr>
      <w:r w:rsidRPr="00745C1D">
        <w:rPr>
          <w:rFonts w:cs="Calibri"/>
          <w:bCs/>
          <w:sz w:val="24"/>
        </w:rPr>
        <w:lastRenderedPageBreak/>
        <w:t>The ADA/ALCC’s concerns from the 2010 re-authorisation process regarding the lack of transparency in APRA arrangements still stand.</w:t>
      </w:r>
      <w:r w:rsidRPr="00745C1D">
        <w:rPr>
          <w:rStyle w:val="FootnoteReference"/>
          <w:rFonts w:cs="Calibri"/>
          <w:sz w:val="24"/>
        </w:rPr>
        <w:footnoteReference w:id="23"/>
      </w:r>
      <w:r w:rsidRPr="00745C1D">
        <w:rPr>
          <w:rFonts w:cs="Calibri"/>
          <w:bCs/>
          <w:sz w:val="24"/>
        </w:rPr>
        <w:t xml:space="preserve"> In 2010, the ADA/ALCC recommended that the following categories of information be made transparent:</w:t>
      </w:r>
    </w:p>
    <w:p w:rsidR="00745C1D" w:rsidRPr="00745C1D" w:rsidRDefault="00745C1D" w:rsidP="00745C1D">
      <w:pPr>
        <w:pStyle w:val="ADArecommendationbox"/>
        <w:numPr>
          <w:ilvl w:val="0"/>
          <w:numId w:val="13"/>
        </w:numPr>
        <w:pBdr>
          <w:top w:val="none" w:sz="0" w:space="0" w:color="auto"/>
          <w:left w:val="none" w:sz="0" w:space="0" w:color="auto"/>
          <w:bottom w:val="none" w:sz="0" w:space="0" w:color="auto"/>
          <w:right w:val="none" w:sz="0" w:space="0" w:color="auto"/>
        </w:pBdr>
        <w:shd w:val="clear" w:color="auto" w:fill="FFFFFF"/>
        <w:spacing w:after="0"/>
        <w:ind w:left="567" w:hanging="567"/>
        <w:jc w:val="both"/>
        <w:rPr>
          <w:rFonts w:ascii="Cambria" w:hAnsi="Cambria" w:cs="Calibri"/>
          <w:szCs w:val="22"/>
        </w:rPr>
      </w:pPr>
      <w:r w:rsidRPr="00745C1D">
        <w:rPr>
          <w:rFonts w:ascii="Cambria" w:hAnsi="Cambria" w:cs="Calibri"/>
          <w:szCs w:val="22"/>
        </w:rPr>
        <w:t>Details of the remuneration and other benefits paid to executives with salaries greater than $100,000;</w:t>
      </w:r>
    </w:p>
    <w:p w:rsidR="00745C1D" w:rsidRPr="00745C1D" w:rsidRDefault="00745C1D" w:rsidP="00745C1D">
      <w:pPr>
        <w:pStyle w:val="ADArecommendationbox"/>
        <w:numPr>
          <w:ilvl w:val="0"/>
          <w:numId w:val="13"/>
        </w:numPr>
        <w:pBdr>
          <w:top w:val="none" w:sz="0" w:space="0" w:color="auto"/>
          <w:left w:val="none" w:sz="0" w:space="0" w:color="auto"/>
          <w:bottom w:val="none" w:sz="0" w:space="0" w:color="auto"/>
          <w:right w:val="none" w:sz="0" w:space="0" w:color="auto"/>
        </w:pBdr>
        <w:shd w:val="clear" w:color="auto" w:fill="FFFFFF"/>
        <w:spacing w:after="0"/>
        <w:ind w:left="567" w:hanging="567"/>
        <w:jc w:val="both"/>
        <w:rPr>
          <w:rFonts w:ascii="Cambria" w:hAnsi="Cambria" w:cs="Calibri"/>
          <w:szCs w:val="22"/>
        </w:rPr>
      </w:pPr>
      <w:r w:rsidRPr="00745C1D">
        <w:rPr>
          <w:rFonts w:ascii="Cambria" w:hAnsi="Cambria" w:cs="Calibri"/>
          <w:szCs w:val="22"/>
        </w:rPr>
        <w:t>Details of the remuneration and other benefits paid to staff;</w:t>
      </w:r>
    </w:p>
    <w:p w:rsidR="00745C1D" w:rsidRPr="00745C1D" w:rsidRDefault="00745C1D" w:rsidP="00745C1D">
      <w:pPr>
        <w:pStyle w:val="ADArecommendationbox"/>
        <w:numPr>
          <w:ilvl w:val="0"/>
          <w:numId w:val="13"/>
        </w:numPr>
        <w:pBdr>
          <w:top w:val="none" w:sz="0" w:space="0" w:color="auto"/>
          <w:left w:val="none" w:sz="0" w:space="0" w:color="auto"/>
          <w:bottom w:val="none" w:sz="0" w:space="0" w:color="auto"/>
          <w:right w:val="none" w:sz="0" w:space="0" w:color="auto"/>
        </w:pBdr>
        <w:shd w:val="clear" w:color="auto" w:fill="FFFFFF"/>
        <w:spacing w:after="0"/>
        <w:ind w:left="567" w:hanging="567"/>
        <w:jc w:val="both"/>
        <w:rPr>
          <w:rFonts w:ascii="Cambria" w:hAnsi="Cambria" w:cs="Calibri"/>
          <w:szCs w:val="22"/>
        </w:rPr>
      </w:pPr>
      <w:r w:rsidRPr="00745C1D">
        <w:rPr>
          <w:rFonts w:ascii="Cambria" w:hAnsi="Cambria" w:cs="Calibri"/>
          <w:szCs w:val="22"/>
        </w:rPr>
        <w:t>Details of the remuneration, other benefits, and expenses paid to consultants;</w:t>
      </w:r>
    </w:p>
    <w:p w:rsidR="00745C1D" w:rsidRPr="00745C1D" w:rsidRDefault="00745C1D" w:rsidP="00745C1D">
      <w:pPr>
        <w:pStyle w:val="ADArecommendationbox"/>
        <w:numPr>
          <w:ilvl w:val="0"/>
          <w:numId w:val="13"/>
        </w:numPr>
        <w:pBdr>
          <w:top w:val="none" w:sz="0" w:space="0" w:color="auto"/>
          <w:left w:val="none" w:sz="0" w:space="0" w:color="auto"/>
          <w:bottom w:val="none" w:sz="0" w:space="0" w:color="auto"/>
          <w:right w:val="none" w:sz="0" w:space="0" w:color="auto"/>
        </w:pBdr>
        <w:shd w:val="clear" w:color="auto" w:fill="FFFFFF"/>
        <w:spacing w:after="0"/>
        <w:ind w:left="567" w:hanging="567"/>
        <w:jc w:val="both"/>
        <w:rPr>
          <w:rFonts w:ascii="Cambria" w:hAnsi="Cambria" w:cs="Calibri"/>
          <w:szCs w:val="22"/>
        </w:rPr>
      </w:pPr>
      <w:r w:rsidRPr="00745C1D">
        <w:rPr>
          <w:rFonts w:ascii="Cambria" w:hAnsi="Cambria" w:cs="Calibri"/>
          <w:szCs w:val="22"/>
        </w:rPr>
        <w:t>The amount of royalties distributed to authors and creators;</w:t>
      </w:r>
    </w:p>
    <w:p w:rsidR="00745C1D" w:rsidRPr="00745C1D" w:rsidRDefault="00745C1D" w:rsidP="00745C1D">
      <w:pPr>
        <w:pStyle w:val="ADArecommendationbox"/>
        <w:numPr>
          <w:ilvl w:val="0"/>
          <w:numId w:val="13"/>
        </w:numPr>
        <w:pBdr>
          <w:top w:val="none" w:sz="0" w:space="0" w:color="auto"/>
          <w:left w:val="none" w:sz="0" w:space="0" w:color="auto"/>
          <w:bottom w:val="none" w:sz="0" w:space="0" w:color="auto"/>
          <w:right w:val="none" w:sz="0" w:space="0" w:color="auto"/>
        </w:pBdr>
        <w:shd w:val="clear" w:color="auto" w:fill="FFFFFF"/>
        <w:spacing w:after="0"/>
        <w:ind w:left="567" w:hanging="567"/>
        <w:jc w:val="both"/>
        <w:rPr>
          <w:rFonts w:ascii="Cambria" w:hAnsi="Cambria" w:cs="Calibri"/>
          <w:szCs w:val="22"/>
        </w:rPr>
      </w:pPr>
      <w:r w:rsidRPr="00745C1D">
        <w:rPr>
          <w:rFonts w:ascii="Cambria" w:hAnsi="Cambria" w:cs="Calibri"/>
          <w:szCs w:val="22"/>
        </w:rPr>
        <w:t>The amount of royalties distributed to record companies, and the amount to individual record companies if they receive over a certain threshold;</w:t>
      </w:r>
    </w:p>
    <w:p w:rsidR="00745C1D" w:rsidRPr="00745C1D" w:rsidRDefault="00745C1D" w:rsidP="00745C1D">
      <w:pPr>
        <w:pStyle w:val="ADArecommendationbox"/>
        <w:numPr>
          <w:ilvl w:val="0"/>
          <w:numId w:val="13"/>
        </w:numPr>
        <w:pBdr>
          <w:top w:val="none" w:sz="0" w:space="0" w:color="auto"/>
          <w:left w:val="none" w:sz="0" w:space="0" w:color="auto"/>
          <w:bottom w:val="none" w:sz="0" w:space="0" w:color="auto"/>
          <w:right w:val="none" w:sz="0" w:space="0" w:color="auto"/>
        </w:pBdr>
        <w:shd w:val="clear" w:color="auto" w:fill="FFFFFF"/>
        <w:spacing w:after="0"/>
        <w:ind w:left="567" w:hanging="567"/>
        <w:jc w:val="both"/>
        <w:rPr>
          <w:rFonts w:ascii="Cambria" w:hAnsi="Cambria" w:cs="Calibri"/>
          <w:szCs w:val="22"/>
        </w:rPr>
      </w:pPr>
      <w:r w:rsidRPr="00745C1D">
        <w:rPr>
          <w:rFonts w:ascii="Cambria" w:hAnsi="Cambria" w:cs="Calibri"/>
          <w:szCs w:val="22"/>
        </w:rPr>
        <w:t>Details or estimations of the amount of royalties distributed to record companies that are passed onto authors and creators;</w:t>
      </w:r>
    </w:p>
    <w:p w:rsidR="00745C1D" w:rsidRPr="00745C1D" w:rsidRDefault="00745C1D" w:rsidP="00745C1D">
      <w:pPr>
        <w:pStyle w:val="ADArecommendationbox"/>
        <w:numPr>
          <w:ilvl w:val="0"/>
          <w:numId w:val="13"/>
        </w:numPr>
        <w:pBdr>
          <w:top w:val="none" w:sz="0" w:space="0" w:color="auto"/>
          <w:left w:val="none" w:sz="0" w:space="0" w:color="auto"/>
          <w:bottom w:val="none" w:sz="0" w:space="0" w:color="auto"/>
          <w:right w:val="none" w:sz="0" w:space="0" w:color="auto"/>
        </w:pBdr>
        <w:shd w:val="clear" w:color="auto" w:fill="FFFFFF"/>
        <w:spacing w:after="0"/>
        <w:ind w:left="567" w:hanging="567"/>
        <w:jc w:val="both"/>
        <w:rPr>
          <w:rFonts w:ascii="Cambria" w:hAnsi="Cambria" w:cs="Calibri"/>
          <w:szCs w:val="22"/>
        </w:rPr>
      </w:pPr>
      <w:r w:rsidRPr="00745C1D">
        <w:rPr>
          <w:rFonts w:ascii="Cambria" w:hAnsi="Cambria" w:cs="Calibri"/>
          <w:szCs w:val="22"/>
        </w:rPr>
        <w:t>The amount of royalties that are undistributed, and whether those funds are used for any other purposes other than investment;</w:t>
      </w:r>
    </w:p>
    <w:p w:rsidR="00745C1D" w:rsidRPr="00745C1D" w:rsidRDefault="00745C1D" w:rsidP="00745C1D">
      <w:pPr>
        <w:pStyle w:val="ADArecommendationbox"/>
        <w:numPr>
          <w:ilvl w:val="0"/>
          <w:numId w:val="13"/>
        </w:numPr>
        <w:pBdr>
          <w:top w:val="none" w:sz="0" w:space="0" w:color="auto"/>
          <w:left w:val="none" w:sz="0" w:space="0" w:color="auto"/>
          <w:bottom w:val="none" w:sz="0" w:space="0" w:color="auto"/>
          <w:right w:val="none" w:sz="0" w:space="0" w:color="auto"/>
        </w:pBdr>
        <w:shd w:val="clear" w:color="auto" w:fill="FFFFFF"/>
        <w:spacing w:after="0"/>
        <w:ind w:left="567" w:hanging="567"/>
        <w:jc w:val="both"/>
        <w:rPr>
          <w:rFonts w:ascii="Cambria" w:hAnsi="Cambria" w:cs="Calibri"/>
          <w:szCs w:val="22"/>
        </w:rPr>
      </w:pPr>
      <w:r w:rsidRPr="00745C1D">
        <w:rPr>
          <w:rFonts w:ascii="Cambria" w:hAnsi="Cambria" w:cs="Calibri"/>
          <w:szCs w:val="22"/>
        </w:rPr>
        <w:t>The amount of money spent on litigation;</w:t>
      </w:r>
    </w:p>
    <w:p w:rsidR="00745C1D" w:rsidRPr="00745C1D" w:rsidRDefault="00745C1D" w:rsidP="00745C1D">
      <w:pPr>
        <w:pStyle w:val="ADArecommendationbox"/>
        <w:numPr>
          <w:ilvl w:val="0"/>
          <w:numId w:val="13"/>
        </w:numPr>
        <w:pBdr>
          <w:top w:val="none" w:sz="0" w:space="0" w:color="auto"/>
          <w:left w:val="none" w:sz="0" w:space="0" w:color="auto"/>
          <w:bottom w:val="none" w:sz="0" w:space="0" w:color="auto"/>
          <w:right w:val="none" w:sz="0" w:space="0" w:color="auto"/>
        </w:pBdr>
        <w:shd w:val="clear" w:color="auto" w:fill="FFFFFF"/>
        <w:spacing w:after="0"/>
        <w:ind w:left="567" w:hanging="567"/>
        <w:jc w:val="both"/>
        <w:rPr>
          <w:rFonts w:ascii="Cambria" w:hAnsi="Cambria" w:cs="Calibri"/>
          <w:szCs w:val="22"/>
        </w:rPr>
      </w:pPr>
      <w:r w:rsidRPr="00745C1D">
        <w:rPr>
          <w:rFonts w:ascii="Cambria" w:hAnsi="Cambria" w:cs="Calibri"/>
          <w:szCs w:val="22"/>
        </w:rPr>
        <w:t>The amount of money spent on legal costs; and</w:t>
      </w:r>
    </w:p>
    <w:p w:rsidR="00745C1D" w:rsidRPr="00745C1D" w:rsidRDefault="00745C1D" w:rsidP="00745C1D">
      <w:pPr>
        <w:pStyle w:val="ADArecommendationbox"/>
        <w:numPr>
          <w:ilvl w:val="0"/>
          <w:numId w:val="13"/>
        </w:numPr>
        <w:pBdr>
          <w:top w:val="none" w:sz="0" w:space="0" w:color="auto"/>
          <w:left w:val="none" w:sz="0" w:space="0" w:color="auto"/>
          <w:bottom w:val="none" w:sz="0" w:space="0" w:color="auto"/>
          <w:right w:val="none" w:sz="0" w:space="0" w:color="auto"/>
        </w:pBdr>
        <w:shd w:val="clear" w:color="auto" w:fill="FFFFFF"/>
        <w:spacing w:after="0"/>
        <w:ind w:left="567" w:hanging="567"/>
        <w:jc w:val="both"/>
        <w:rPr>
          <w:rFonts w:ascii="Cambria" w:hAnsi="Cambria" w:cs="Calibri"/>
          <w:szCs w:val="22"/>
        </w:rPr>
      </w:pPr>
      <w:r w:rsidRPr="00745C1D">
        <w:rPr>
          <w:rFonts w:ascii="Cambria" w:hAnsi="Cambria" w:cs="Calibri"/>
          <w:szCs w:val="22"/>
        </w:rPr>
        <w:t>The amount of money spent on policy and lobbying government.</w:t>
      </w:r>
    </w:p>
    <w:p w:rsidR="00745C1D" w:rsidRPr="00745C1D" w:rsidRDefault="00745C1D" w:rsidP="00745C1D">
      <w:pPr>
        <w:spacing w:before="100" w:beforeAutospacing="1" w:after="120"/>
        <w:jc w:val="both"/>
        <w:rPr>
          <w:rFonts w:cs="Calibri"/>
          <w:bCs/>
          <w:sz w:val="24"/>
        </w:rPr>
      </w:pPr>
      <w:r w:rsidRPr="00745C1D">
        <w:rPr>
          <w:rFonts w:cs="Calibri"/>
          <w:bCs/>
          <w:sz w:val="24"/>
        </w:rPr>
        <w:t>The ADA and ALCC believe that making at least some of these categories of information more transparent will assist licensees negotiating with APRA (to achieve a competitive price).</w:t>
      </w:r>
    </w:p>
    <w:p w:rsidR="00745C1D" w:rsidRPr="00745C1D" w:rsidRDefault="00745C1D" w:rsidP="00745C1D">
      <w:pPr>
        <w:spacing w:before="100" w:beforeAutospacing="1" w:after="120"/>
        <w:jc w:val="both"/>
        <w:rPr>
          <w:rFonts w:cs="Calibri"/>
          <w:bCs/>
          <w:sz w:val="24"/>
        </w:rPr>
      </w:pPr>
      <w:r w:rsidRPr="00745C1D">
        <w:rPr>
          <w:rFonts w:cs="Calibri"/>
          <w:bCs/>
          <w:sz w:val="24"/>
        </w:rPr>
        <w:t xml:space="preserve">The ADA and ALCC would value clarification from APRA as to the remuneration and other benefits paid to staff. The ADA/ALCC has had feedback that APRA representatives negotiating licence fees with small licensees may be working on commission, and so incentivised to attract new licensees and secure highest possible rents, even where the license may be above a reasonable rate or may not properly reflect the use of music by the licensee. </w:t>
      </w:r>
    </w:p>
    <w:p w:rsidR="00745C1D" w:rsidRPr="00745C1D" w:rsidRDefault="00745C1D" w:rsidP="00745C1D">
      <w:pPr>
        <w:spacing w:before="100" w:beforeAutospacing="1" w:after="120"/>
        <w:jc w:val="both"/>
        <w:rPr>
          <w:rFonts w:cs="Calibri"/>
          <w:bCs/>
          <w:sz w:val="24"/>
        </w:rPr>
      </w:pPr>
      <w:r w:rsidRPr="00745C1D">
        <w:rPr>
          <w:rFonts w:cs="Calibri"/>
          <w:bCs/>
          <w:sz w:val="24"/>
        </w:rPr>
        <w:t xml:space="preserve">The ADA and ALCC also note that until 09/10, APRA published a detailed breakdown of their different public performance revenue. From 10/10, APRA has absorbed the specific breakdowns into broad categories, making it difficult for potential licensees and APRA members to identify how different revenue streams are growing or contracting (i.e. for digital downloads vs streaming). The ADA and </w:t>
      </w:r>
      <w:r w:rsidRPr="00745C1D">
        <w:rPr>
          <w:rFonts w:cs="Calibri"/>
          <w:bCs/>
          <w:sz w:val="24"/>
        </w:rPr>
        <w:lastRenderedPageBreak/>
        <w:t>ALCC maintain this information should continue to be transparent and publicly available.</w:t>
      </w:r>
    </w:p>
    <w:p w:rsidR="00745C1D" w:rsidRPr="00745C1D" w:rsidRDefault="00745C1D" w:rsidP="00745C1D">
      <w:pPr>
        <w:pBdr>
          <w:top w:val="single" w:sz="4" w:space="1" w:color="auto"/>
          <w:left w:val="single" w:sz="4" w:space="4" w:color="auto"/>
          <w:bottom w:val="single" w:sz="4" w:space="1" w:color="auto"/>
          <w:right w:val="single" w:sz="4" w:space="4" w:color="auto"/>
        </w:pBdr>
        <w:spacing w:before="100" w:beforeAutospacing="1" w:after="120"/>
        <w:jc w:val="both"/>
        <w:rPr>
          <w:rFonts w:cs="Calibri"/>
          <w:b/>
          <w:bCs/>
          <w:iCs/>
          <w:sz w:val="24"/>
        </w:rPr>
      </w:pPr>
      <w:r w:rsidRPr="00745C1D">
        <w:rPr>
          <w:rFonts w:cs="Calibri"/>
          <w:b/>
          <w:bCs/>
          <w:iCs/>
          <w:sz w:val="24"/>
        </w:rPr>
        <w:t>Recommenda</w:t>
      </w:r>
      <w:r>
        <w:rPr>
          <w:rFonts w:cs="Calibri"/>
          <w:b/>
          <w:bCs/>
          <w:iCs/>
          <w:sz w:val="24"/>
        </w:rPr>
        <w:t xml:space="preserve">tion 3(as per 2010 submission) - </w:t>
      </w:r>
      <w:r w:rsidRPr="00745C1D">
        <w:rPr>
          <w:rFonts w:cs="Calibri"/>
          <w:b/>
          <w:bCs/>
          <w:iCs/>
          <w:sz w:val="24"/>
        </w:rPr>
        <w:t>T</w:t>
      </w:r>
      <w:r w:rsidRPr="00745C1D">
        <w:rPr>
          <w:rFonts w:cs="Calibri"/>
          <w:b/>
          <w:bCs/>
          <w:sz w:val="24"/>
        </w:rPr>
        <w:t>he following categories of information be made transparent:</w:t>
      </w:r>
    </w:p>
    <w:p w:rsidR="00745C1D" w:rsidRPr="00745C1D" w:rsidRDefault="00745C1D" w:rsidP="00745C1D">
      <w:pPr>
        <w:pStyle w:val="ADArecommendationbox"/>
        <w:numPr>
          <w:ilvl w:val="0"/>
          <w:numId w:val="13"/>
        </w:numPr>
        <w:pBdr>
          <w:top w:val="single" w:sz="4" w:space="1" w:color="auto"/>
          <w:bottom w:val="single" w:sz="4" w:space="1" w:color="auto"/>
        </w:pBdr>
        <w:shd w:val="clear" w:color="auto" w:fill="FFFFFF"/>
        <w:spacing w:after="0"/>
        <w:ind w:left="567" w:hanging="567"/>
        <w:jc w:val="both"/>
        <w:rPr>
          <w:rFonts w:ascii="Cambria" w:hAnsi="Cambria" w:cs="Calibri"/>
          <w:b/>
          <w:bCs/>
          <w:szCs w:val="22"/>
        </w:rPr>
      </w:pPr>
      <w:r w:rsidRPr="00745C1D">
        <w:rPr>
          <w:rFonts w:ascii="Cambria" w:hAnsi="Cambria" w:cs="Calibri"/>
          <w:b/>
          <w:bCs/>
          <w:szCs w:val="22"/>
        </w:rPr>
        <w:t>Details of the remuneration and other benefits paid to executives with salaries greater than $100,000;</w:t>
      </w:r>
    </w:p>
    <w:p w:rsidR="00745C1D" w:rsidRPr="00745C1D" w:rsidRDefault="00745C1D" w:rsidP="00745C1D">
      <w:pPr>
        <w:pStyle w:val="ADArecommendationbox"/>
        <w:numPr>
          <w:ilvl w:val="0"/>
          <w:numId w:val="13"/>
        </w:numPr>
        <w:pBdr>
          <w:top w:val="single" w:sz="4" w:space="1" w:color="auto"/>
          <w:bottom w:val="single" w:sz="4" w:space="1" w:color="auto"/>
        </w:pBdr>
        <w:shd w:val="clear" w:color="auto" w:fill="FFFFFF"/>
        <w:spacing w:after="0"/>
        <w:ind w:left="567" w:hanging="567"/>
        <w:jc w:val="both"/>
        <w:rPr>
          <w:rFonts w:ascii="Cambria" w:hAnsi="Cambria" w:cs="Calibri"/>
          <w:b/>
          <w:bCs/>
          <w:szCs w:val="22"/>
        </w:rPr>
      </w:pPr>
      <w:r w:rsidRPr="00745C1D">
        <w:rPr>
          <w:rFonts w:ascii="Cambria" w:hAnsi="Cambria" w:cs="Calibri"/>
          <w:b/>
          <w:bCs/>
          <w:szCs w:val="22"/>
        </w:rPr>
        <w:t>Details of the remuneration and other benefits paid to staff;</w:t>
      </w:r>
    </w:p>
    <w:p w:rsidR="00745C1D" w:rsidRPr="00745C1D" w:rsidRDefault="00745C1D" w:rsidP="00745C1D">
      <w:pPr>
        <w:pStyle w:val="ADArecommendationbox"/>
        <w:numPr>
          <w:ilvl w:val="0"/>
          <w:numId w:val="13"/>
        </w:numPr>
        <w:pBdr>
          <w:top w:val="single" w:sz="4" w:space="1" w:color="auto"/>
          <w:bottom w:val="single" w:sz="4" w:space="1" w:color="auto"/>
        </w:pBdr>
        <w:shd w:val="clear" w:color="auto" w:fill="FFFFFF"/>
        <w:spacing w:after="0"/>
        <w:ind w:left="567" w:hanging="567"/>
        <w:jc w:val="both"/>
        <w:rPr>
          <w:rFonts w:ascii="Cambria" w:hAnsi="Cambria" w:cs="Calibri"/>
          <w:b/>
          <w:bCs/>
          <w:szCs w:val="22"/>
        </w:rPr>
      </w:pPr>
      <w:r w:rsidRPr="00745C1D">
        <w:rPr>
          <w:rFonts w:ascii="Cambria" w:hAnsi="Cambria" w:cs="Calibri"/>
          <w:b/>
          <w:bCs/>
          <w:szCs w:val="22"/>
        </w:rPr>
        <w:t>Details of the remuneration, other benefits, and expenses paid to consultants;</w:t>
      </w:r>
    </w:p>
    <w:p w:rsidR="00745C1D" w:rsidRPr="00745C1D" w:rsidRDefault="00745C1D" w:rsidP="00745C1D">
      <w:pPr>
        <w:pStyle w:val="ADArecommendationbox"/>
        <w:numPr>
          <w:ilvl w:val="0"/>
          <w:numId w:val="13"/>
        </w:numPr>
        <w:pBdr>
          <w:top w:val="single" w:sz="4" w:space="1" w:color="auto"/>
          <w:bottom w:val="single" w:sz="4" w:space="1" w:color="auto"/>
        </w:pBdr>
        <w:shd w:val="clear" w:color="auto" w:fill="FFFFFF"/>
        <w:spacing w:after="0"/>
        <w:ind w:left="567" w:hanging="567"/>
        <w:jc w:val="both"/>
        <w:rPr>
          <w:rFonts w:ascii="Cambria" w:hAnsi="Cambria" w:cs="Calibri"/>
          <w:b/>
          <w:bCs/>
          <w:szCs w:val="22"/>
        </w:rPr>
      </w:pPr>
      <w:r w:rsidRPr="00745C1D">
        <w:rPr>
          <w:rFonts w:ascii="Cambria" w:hAnsi="Cambria" w:cs="Calibri"/>
          <w:b/>
          <w:bCs/>
          <w:szCs w:val="22"/>
        </w:rPr>
        <w:t>The amount of royalties distributed to authors and creators;</w:t>
      </w:r>
    </w:p>
    <w:p w:rsidR="00745C1D" w:rsidRPr="00745C1D" w:rsidRDefault="00745C1D" w:rsidP="00745C1D">
      <w:pPr>
        <w:pStyle w:val="ADArecommendationbox"/>
        <w:numPr>
          <w:ilvl w:val="0"/>
          <w:numId w:val="13"/>
        </w:numPr>
        <w:pBdr>
          <w:top w:val="single" w:sz="4" w:space="1" w:color="auto"/>
          <w:bottom w:val="single" w:sz="4" w:space="1" w:color="auto"/>
        </w:pBdr>
        <w:shd w:val="clear" w:color="auto" w:fill="FFFFFF"/>
        <w:spacing w:after="0"/>
        <w:ind w:left="567" w:hanging="567"/>
        <w:jc w:val="both"/>
        <w:rPr>
          <w:rFonts w:ascii="Cambria" w:hAnsi="Cambria" w:cs="Calibri"/>
          <w:b/>
          <w:bCs/>
          <w:szCs w:val="22"/>
        </w:rPr>
      </w:pPr>
      <w:r w:rsidRPr="00745C1D">
        <w:rPr>
          <w:rFonts w:ascii="Cambria" w:hAnsi="Cambria" w:cs="Calibri"/>
          <w:b/>
          <w:bCs/>
          <w:szCs w:val="22"/>
        </w:rPr>
        <w:t>The amount of royalties distributed to record companies, and the amount to individual record companies if they receive over a certain threshold;</w:t>
      </w:r>
    </w:p>
    <w:p w:rsidR="00745C1D" w:rsidRPr="00745C1D" w:rsidRDefault="00745C1D" w:rsidP="00745C1D">
      <w:pPr>
        <w:pStyle w:val="ADArecommendationbox"/>
        <w:numPr>
          <w:ilvl w:val="0"/>
          <w:numId w:val="13"/>
        </w:numPr>
        <w:pBdr>
          <w:top w:val="single" w:sz="4" w:space="1" w:color="auto"/>
          <w:bottom w:val="single" w:sz="4" w:space="1" w:color="auto"/>
        </w:pBdr>
        <w:shd w:val="clear" w:color="auto" w:fill="FFFFFF"/>
        <w:spacing w:after="0"/>
        <w:ind w:left="567" w:hanging="567"/>
        <w:jc w:val="both"/>
        <w:rPr>
          <w:rFonts w:ascii="Cambria" w:hAnsi="Cambria" w:cs="Calibri"/>
          <w:b/>
          <w:bCs/>
          <w:szCs w:val="22"/>
        </w:rPr>
      </w:pPr>
      <w:r w:rsidRPr="00745C1D">
        <w:rPr>
          <w:rFonts w:ascii="Cambria" w:hAnsi="Cambria" w:cs="Calibri"/>
          <w:b/>
          <w:bCs/>
          <w:szCs w:val="22"/>
        </w:rPr>
        <w:t>Details or estimations of the amount of royalties distributed to record companies that are passed onto authors and creators;</w:t>
      </w:r>
    </w:p>
    <w:p w:rsidR="00745C1D" w:rsidRPr="00745C1D" w:rsidRDefault="00745C1D" w:rsidP="00745C1D">
      <w:pPr>
        <w:pStyle w:val="ADArecommendationbox"/>
        <w:numPr>
          <w:ilvl w:val="0"/>
          <w:numId w:val="13"/>
        </w:numPr>
        <w:pBdr>
          <w:top w:val="single" w:sz="4" w:space="1" w:color="auto"/>
          <w:bottom w:val="single" w:sz="4" w:space="1" w:color="auto"/>
        </w:pBdr>
        <w:shd w:val="clear" w:color="auto" w:fill="FFFFFF"/>
        <w:spacing w:after="0"/>
        <w:ind w:left="567" w:hanging="567"/>
        <w:jc w:val="both"/>
        <w:rPr>
          <w:rFonts w:ascii="Cambria" w:hAnsi="Cambria" w:cs="Calibri"/>
          <w:b/>
          <w:bCs/>
          <w:szCs w:val="22"/>
        </w:rPr>
      </w:pPr>
      <w:r w:rsidRPr="00745C1D">
        <w:rPr>
          <w:rFonts w:ascii="Cambria" w:hAnsi="Cambria" w:cs="Calibri"/>
          <w:b/>
          <w:bCs/>
          <w:szCs w:val="22"/>
        </w:rPr>
        <w:t>The amount of royalties that are undistributed, and whether those funds are used for any other purposes other than investment;</w:t>
      </w:r>
    </w:p>
    <w:p w:rsidR="00745C1D" w:rsidRPr="00745C1D" w:rsidRDefault="00745C1D" w:rsidP="00745C1D">
      <w:pPr>
        <w:pStyle w:val="ADArecommendationbox"/>
        <w:numPr>
          <w:ilvl w:val="0"/>
          <w:numId w:val="13"/>
        </w:numPr>
        <w:pBdr>
          <w:top w:val="single" w:sz="4" w:space="1" w:color="auto"/>
          <w:bottom w:val="single" w:sz="4" w:space="1" w:color="auto"/>
        </w:pBdr>
        <w:shd w:val="clear" w:color="auto" w:fill="FFFFFF"/>
        <w:spacing w:after="0"/>
        <w:ind w:left="567" w:hanging="567"/>
        <w:jc w:val="both"/>
        <w:rPr>
          <w:rFonts w:ascii="Cambria" w:hAnsi="Cambria" w:cs="Calibri"/>
          <w:b/>
          <w:bCs/>
          <w:szCs w:val="22"/>
        </w:rPr>
      </w:pPr>
      <w:r w:rsidRPr="00745C1D">
        <w:rPr>
          <w:rFonts w:ascii="Cambria" w:hAnsi="Cambria" w:cs="Calibri"/>
          <w:b/>
          <w:bCs/>
          <w:szCs w:val="22"/>
        </w:rPr>
        <w:t>The amount of money spent on litigation;</w:t>
      </w:r>
    </w:p>
    <w:p w:rsidR="00745C1D" w:rsidRPr="00745C1D" w:rsidRDefault="00745C1D" w:rsidP="00745C1D">
      <w:pPr>
        <w:pStyle w:val="ADArecommendationbox"/>
        <w:numPr>
          <w:ilvl w:val="0"/>
          <w:numId w:val="13"/>
        </w:numPr>
        <w:pBdr>
          <w:top w:val="single" w:sz="4" w:space="1" w:color="auto"/>
          <w:bottom w:val="single" w:sz="4" w:space="1" w:color="auto"/>
        </w:pBdr>
        <w:shd w:val="clear" w:color="auto" w:fill="FFFFFF"/>
        <w:spacing w:after="0"/>
        <w:ind w:left="567" w:hanging="567"/>
        <w:jc w:val="both"/>
        <w:rPr>
          <w:rFonts w:ascii="Cambria" w:hAnsi="Cambria" w:cs="Calibri"/>
          <w:b/>
          <w:bCs/>
          <w:szCs w:val="22"/>
        </w:rPr>
      </w:pPr>
      <w:r w:rsidRPr="00745C1D">
        <w:rPr>
          <w:rFonts w:ascii="Cambria" w:hAnsi="Cambria" w:cs="Calibri"/>
          <w:b/>
          <w:bCs/>
          <w:szCs w:val="22"/>
        </w:rPr>
        <w:t>The amount of money spent on legal costs; and</w:t>
      </w:r>
    </w:p>
    <w:p w:rsidR="00745C1D" w:rsidRPr="00745C1D" w:rsidRDefault="00745C1D" w:rsidP="00745C1D">
      <w:pPr>
        <w:pStyle w:val="ADArecommendationbox"/>
        <w:numPr>
          <w:ilvl w:val="0"/>
          <w:numId w:val="13"/>
        </w:numPr>
        <w:pBdr>
          <w:top w:val="single" w:sz="4" w:space="1" w:color="auto"/>
          <w:bottom w:val="single" w:sz="4" w:space="1" w:color="auto"/>
        </w:pBdr>
        <w:shd w:val="clear" w:color="auto" w:fill="FFFFFF"/>
        <w:spacing w:after="0"/>
        <w:ind w:left="567" w:hanging="567"/>
        <w:jc w:val="both"/>
        <w:rPr>
          <w:rFonts w:ascii="Cambria" w:hAnsi="Cambria" w:cs="Calibri"/>
          <w:b/>
          <w:bCs/>
          <w:szCs w:val="22"/>
        </w:rPr>
      </w:pPr>
      <w:r w:rsidRPr="00745C1D">
        <w:rPr>
          <w:rFonts w:ascii="Cambria" w:hAnsi="Cambria" w:cs="Calibri"/>
          <w:b/>
          <w:bCs/>
          <w:szCs w:val="22"/>
        </w:rPr>
        <w:t>The amount of money spent on policy and lobbying government.</w:t>
      </w:r>
    </w:p>
    <w:p w:rsidR="00745C1D" w:rsidRPr="00745C1D" w:rsidRDefault="00745C1D" w:rsidP="00745C1D">
      <w:pPr>
        <w:spacing w:before="100" w:beforeAutospacing="1" w:after="120"/>
        <w:jc w:val="both"/>
        <w:rPr>
          <w:rFonts w:cs="Calibri"/>
          <w:iCs/>
          <w:sz w:val="24"/>
        </w:rPr>
      </w:pPr>
    </w:p>
    <w:p w:rsidR="00745C1D" w:rsidRPr="00745C1D" w:rsidRDefault="00745C1D" w:rsidP="00745C1D">
      <w:pPr>
        <w:spacing w:before="100" w:beforeAutospacing="1" w:after="120"/>
        <w:jc w:val="both"/>
        <w:rPr>
          <w:rFonts w:cs="Calibri"/>
          <w:iCs/>
          <w:sz w:val="24"/>
        </w:rPr>
      </w:pPr>
    </w:p>
    <w:p w:rsidR="00745C1D" w:rsidRPr="00745C1D" w:rsidRDefault="00745C1D" w:rsidP="00745C1D">
      <w:pPr>
        <w:spacing w:before="100" w:beforeAutospacing="1" w:after="120"/>
        <w:jc w:val="both"/>
        <w:rPr>
          <w:rFonts w:cs="Calibri"/>
          <w:iCs/>
          <w:sz w:val="24"/>
        </w:rPr>
      </w:pPr>
    </w:p>
    <w:p w:rsidR="00745C1D" w:rsidRPr="00745C1D" w:rsidRDefault="00745C1D" w:rsidP="00745C1D">
      <w:pPr>
        <w:spacing w:before="100" w:beforeAutospacing="1" w:after="120"/>
        <w:jc w:val="both"/>
        <w:rPr>
          <w:rFonts w:cs="Calibri"/>
          <w:iCs/>
          <w:sz w:val="24"/>
        </w:rPr>
      </w:pPr>
    </w:p>
    <w:p w:rsidR="004D12B4" w:rsidRPr="00764232" w:rsidRDefault="004D12B4" w:rsidP="00764232">
      <w:pPr>
        <w:jc w:val="both"/>
      </w:pPr>
    </w:p>
    <w:sectPr w:rsidR="004D12B4" w:rsidRPr="00764232" w:rsidSect="006049BA">
      <w:headerReference w:type="default" r:id="rId9"/>
      <w:footerReference w:type="even" r:id="rId10"/>
      <w:footerReference w:type="default" r:id="rId11"/>
      <w:headerReference w:type="first" r:id="rId12"/>
      <w:footerReference w:type="first" r:id="rId13"/>
      <w:type w:val="continuous"/>
      <w:pgSz w:w="11906" w:h="16838" w:code="9"/>
      <w:pgMar w:top="1701" w:right="1701" w:bottom="1701" w:left="1701" w:header="1134"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2B4" w:rsidRDefault="004D12B4" w:rsidP="0021492A">
      <w:r>
        <w:separator/>
      </w:r>
    </w:p>
    <w:p w:rsidR="004D12B4" w:rsidRDefault="004D12B4" w:rsidP="0021492A"/>
    <w:p w:rsidR="004D12B4" w:rsidRDefault="004D12B4" w:rsidP="0021492A"/>
  </w:endnote>
  <w:endnote w:type="continuationSeparator" w:id="0">
    <w:p w:rsidR="004D12B4" w:rsidRDefault="004D12B4" w:rsidP="0021492A">
      <w:r>
        <w:continuationSeparator/>
      </w:r>
    </w:p>
    <w:p w:rsidR="004D12B4" w:rsidRDefault="004D12B4" w:rsidP="0021492A"/>
    <w:p w:rsidR="004D12B4" w:rsidRDefault="004D12B4" w:rsidP="00214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Cambria">
    <w:panose1 w:val="02040503050406030204"/>
    <w:charset w:val="00"/>
    <w:family w:val="auto"/>
    <w:pitch w:val="variable"/>
    <w:sig w:usb0="E00002FF" w:usb1="400004FF" w:usb2="00000000" w:usb3="00000000" w:csb0="0000019F" w:csb1="00000000"/>
  </w:font>
  <w:font w:name="Minion Pro">
    <w:panose1 w:val="00000000000000000000"/>
    <w:charset w:val="00"/>
    <w:family w:val="roman"/>
    <w:notTrueType/>
    <w:pitch w:val="variable"/>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Arial Bold">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B4" w:rsidRDefault="004D12B4" w:rsidP="003A006B">
    <w:pPr>
      <w:pStyle w:val="Footer"/>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4D12B4" w:rsidRDefault="004D12B4" w:rsidP="003A00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B4" w:rsidRDefault="00745C1D">
    <w:pPr>
      <w:pStyle w:val="Footer"/>
    </w:pPr>
    <w:r>
      <w:rPr>
        <w:noProof/>
        <w:lang w:val="en-US" w:eastAsia="en-US"/>
      </w:rPr>
      <w:drawing>
        <wp:anchor distT="0" distB="0" distL="114300" distR="114300" simplePos="0" relativeHeight="251657728" behindDoc="1" locked="0" layoutInCell="1" allowOverlap="1">
          <wp:simplePos x="0" y="0"/>
          <wp:positionH relativeFrom="column">
            <wp:posOffset>-367665</wp:posOffset>
          </wp:positionH>
          <wp:positionV relativeFrom="paragraph">
            <wp:posOffset>34925</wp:posOffset>
          </wp:positionV>
          <wp:extent cx="6444615" cy="76962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4615" cy="76962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p w:rsidR="004D12B4" w:rsidRPr="003A006B" w:rsidRDefault="004D12B4" w:rsidP="003A006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B4" w:rsidRDefault="00745C1D" w:rsidP="003A006B">
    <w:pPr>
      <w:pStyle w:val="Footer"/>
    </w:pPr>
    <w:r>
      <w:rPr>
        <w:noProof/>
        <w:lang w:val="en-US" w:eastAsia="en-US"/>
      </w:rPr>
      <w:drawing>
        <wp:anchor distT="0" distB="0" distL="114300" distR="114300" simplePos="0" relativeHeight="251656704" behindDoc="1" locked="0" layoutInCell="1" allowOverlap="1">
          <wp:simplePos x="0" y="0"/>
          <wp:positionH relativeFrom="column">
            <wp:posOffset>-516890</wp:posOffset>
          </wp:positionH>
          <wp:positionV relativeFrom="paragraph">
            <wp:posOffset>-169545</wp:posOffset>
          </wp:positionV>
          <wp:extent cx="6443980" cy="770255"/>
          <wp:effectExtent l="0" t="0" r="762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3980" cy="7702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2B4" w:rsidRDefault="004D12B4" w:rsidP="0021492A">
      <w:r>
        <w:separator/>
      </w:r>
    </w:p>
  </w:footnote>
  <w:footnote w:type="continuationSeparator" w:id="0">
    <w:p w:rsidR="004D12B4" w:rsidRDefault="004D12B4" w:rsidP="0021492A">
      <w:r>
        <w:continuationSeparator/>
      </w:r>
    </w:p>
  </w:footnote>
  <w:footnote w:type="continuationNotice" w:id="1">
    <w:p w:rsidR="004D12B4" w:rsidRDefault="004D12B4">
      <w:pPr>
        <w:spacing w:before="0" w:after="0" w:line="240" w:lineRule="auto"/>
      </w:pPr>
    </w:p>
  </w:footnote>
  <w:footnote w:id="2">
    <w:p w:rsidR="00745C1D" w:rsidRPr="00745C1D" w:rsidRDefault="00745C1D" w:rsidP="00745C1D">
      <w:pPr>
        <w:pStyle w:val="FootnoteText"/>
        <w:spacing w:line="240" w:lineRule="auto"/>
        <w:rPr>
          <w:rFonts w:asciiTheme="minorHAnsi" w:hAnsiTheme="minorHAnsi"/>
          <w:sz w:val="20"/>
          <w:szCs w:val="20"/>
        </w:rPr>
      </w:pPr>
      <w:r w:rsidRPr="00745C1D">
        <w:rPr>
          <w:rStyle w:val="FootnoteReference"/>
          <w:rFonts w:asciiTheme="minorHAnsi" w:hAnsiTheme="minorHAnsi"/>
          <w:sz w:val="20"/>
          <w:szCs w:val="20"/>
        </w:rPr>
        <w:footnoteRef/>
      </w:r>
      <w:r w:rsidRPr="00745C1D">
        <w:rPr>
          <w:rFonts w:asciiTheme="minorHAnsi" w:hAnsiTheme="minorHAnsi"/>
          <w:sz w:val="20"/>
          <w:szCs w:val="20"/>
        </w:rPr>
        <w:t xml:space="preserve"> Australian Competition &amp; Consumer Commission (ACCC) Determination on Application for revocation and substitution of authorisations lodged by Australasian Performing Right Association Ltd in respect of arrangements for the acquisition and licensing of performing rights in music, 16 April 2010</w:t>
      </w:r>
    </w:p>
  </w:footnote>
  <w:footnote w:id="3">
    <w:p w:rsidR="00745C1D" w:rsidRPr="00745C1D" w:rsidRDefault="00745C1D" w:rsidP="00745C1D">
      <w:pPr>
        <w:pStyle w:val="FootnoteText"/>
        <w:spacing w:line="240" w:lineRule="auto"/>
        <w:rPr>
          <w:rFonts w:asciiTheme="minorHAnsi" w:hAnsiTheme="minorHAnsi"/>
          <w:sz w:val="20"/>
          <w:szCs w:val="20"/>
        </w:rPr>
      </w:pPr>
      <w:r w:rsidRPr="00745C1D">
        <w:rPr>
          <w:rStyle w:val="FootnoteReference"/>
          <w:rFonts w:asciiTheme="minorHAnsi" w:hAnsiTheme="minorHAnsi"/>
          <w:sz w:val="20"/>
          <w:szCs w:val="20"/>
        </w:rPr>
        <w:footnoteRef/>
      </w:r>
      <w:r w:rsidRPr="00745C1D">
        <w:rPr>
          <w:rFonts w:asciiTheme="minorHAnsi" w:hAnsiTheme="minorHAnsi"/>
          <w:sz w:val="20"/>
          <w:szCs w:val="20"/>
        </w:rPr>
        <w:t xml:space="preserve"> Australasian Performing Rights Association (APRA) submission to Australian Competition &amp; Consumer Commission (ACCC) for reauthorisation 30 April 2013 paragraph 11. </w:t>
      </w:r>
    </w:p>
  </w:footnote>
  <w:footnote w:id="4">
    <w:p w:rsidR="00745C1D" w:rsidRPr="00745C1D" w:rsidRDefault="00745C1D" w:rsidP="00745C1D">
      <w:pPr>
        <w:spacing w:before="120" w:after="0" w:line="240" w:lineRule="auto"/>
        <w:rPr>
          <w:rFonts w:asciiTheme="minorHAnsi" w:hAnsiTheme="minorHAnsi" w:cs="Arial"/>
          <w:sz w:val="20"/>
          <w:szCs w:val="20"/>
        </w:rPr>
      </w:pPr>
      <w:r w:rsidRPr="00745C1D">
        <w:rPr>
          <w:rStyle w:val="FootnoteReference"/>
          <w:rFonts w:asciiTheme="minorHAnsi" w:hAnsiTheme="minorHAnsi"/>
          <w:sz w:val="20"/>
          <w:szCs w:val="20"/>
        </w:rPr>
        <w:footnoteRef/>
      </w:r>
      <w:r w:rsidRPr="00745C1D">
        <w:rPr>
          <w:rFonts w:asciiTheme="minorHAnsi" w:hAnsiTheme="minorHAnsi"/>
          <w:sz w:val="20"/>
          <w:szCs w:val="20"/>
        </w:rPr>
        <w:t xml:space="preserve"> APRA/AMCOS submission to Australian Law Reform Commission Copyright Inquiry Issues Paper (2012) </w:t>
      </w:r>
      <w:hyperlink r:id="rId1" w:history="1">
        <w:r w:rsidRPr="00745C1D">
          <w:rPr>
            <w:rStyle w:val="Hyperlink"/>
            <w:rFonts w:asciiTheme="minorHAnsi" w:hAnsiTheme="minorHAnsi" w:cs="Arial"/>
            <w:sz w:val="20"/>
            <w:szCs w:val="20"/>
          </w:rPr>
          <w:t>http://www.alrc.gov.au/sites/default/files/subs/247._org_apra_amcos_correction.pdf</w:t>
        </w:r>
      </w:hyperlink>
      <w:r w:rsidRPr="00745C1D">
        <w:rPr>
          <w:rFonts w:asciiTheme="minorHAnsi" w:hAnsiTheme="minorHAnsi" w:cs="Arial"/>
          <w:sz w:val="20"/>
          <w:szCs w:val="20"/>
        </w:rPr>
        <w:t xml:space="preserve"> </w:t>
      </w:r>
    </w:p>
  </w:footnote>
  <w:footnote w:id="5">
    <w:p w:rsidR="00745C1D" w:rsidRPr="00745C1D" w:rsidRDefault="00745C1D" w:rsidP="00745C1D">
      <w:pPr>
        <w:pStyle w:val="FootnoteText"/>
        <w:spacing w:line="240" w:lineRule="auto"/>
        <w:rPr>
          <w:rFonts w:asciiTheme="minorHAnsi" w:hAnsiTheme="minorHAnsi"/>
          <w:sz w:val="20"/>
          <w:szCs w:val="20"/>
        </w:rPr>
      </w:pPr>
      <w:r w:rsidRPr="00745C1D">
        <w:rPr>
          <w:rStyle w:val="FootnoteReference"/>
          <w:rFonts w:asciiTheme="minorHAnsi" w:hAnsiTheme="minorHAnsi"/>
          <w:sz w:val="20"/>
          <w:szCs w:val="20"/>
        </w:rPr>
        <w:footnoteRef/>
      </w:r>
      <w:r w:rsidRPr="00745C1D">
        <w:rPr>
          <w:rFonts w:asciiTheme="minorHAnsi" w:hAnsiTheme="minorHAnsi"/>
          <w:sz w:val="20"/>
          <w:szCs w:val="20"/>
        </w:rPr>
        <w:t xml:space="preserve"> Australian Recording Industry Association (ARIA) submission to the Australian Law Reform Commission Copyright Inquiry Issues Paper at page 9 </w:t>
      </w:r>
      <w:hyperlink r:id="rId2" w:history="1">
        <w:r w:rsidRPr="00745C1D">
          <w:rPr>
            <w:rStyle w:val="Hyperlink"/>
            <w:rFonts w:asciiTheme="minorHAnsi" w:hAnsiTheme="minorHAnsi" w:cs="Arial"/>
            <w:sz w:val="20"/>
            <w:szCs w:val="20"/>
          </w:rPr>
          <w:t>http://www.alrc.gov.au/sites/default/files/subs/241._org_aria.pdf</w:t>
        </w:r>
      </w:hyperlink>
      <w:r w:rsidRPr="00745C1D">
        <w:rPr>
          <w:rFonts w:asciiTheme="minorHAnsi" w:hAnsiTheme="minorHAnsi"/>
          <w:sz w:val="20"/>
          <w:szCs w:val="20"/>
        </w:rPr>
        <w:t xml:space="preserve"> </w:t>
      </w:r>
    </w:p>
  </w:footnote>
  <w:footnote w:id="6">
    <w:p w:rsidR="00745C1D" w:rsidRPr="00745C1D" w:rsidRDefault="00745C1D" w:rsidP="00745C1D">
      <w:pPr>
        <w:pStyle w:val="FootnoteText"/>
        <w:spacing w:line="240" w:lineRule="auto"/>
        <w:rPr>
          <w:rFonts w:asciiTheme="minorHAnsi" w:hAnsiTheme="minorHAnsi"/>
          <w:sz w:val="20"/>
          <w:szCs w:val="20"/>
        </w:rPr>
      </w:pPr>
      <w:r w:rsidRPr="00745C1D">
        <w:rPr>
          <w:rStyle w:val="FootnoteReference"/>
          <w:rFonts w:asciiTheme="minorHAnsi" w:hAnsiTheme="minorHAnsi"/>
          <w:sz w:val="20"/>
          <w:szCs w:val="20"/>
        </w:rPr>
        <w:footnoteRef/>
      </w:r>
      <w:r w:rsidRPr="00745C1D">
        <w:rPr>
          <w:rFonts w:asciiTheme="minorHAnsi" w:hAnsiTheme="minorHAnsi"/>
          <w:sz w:val="20"/>
          <w:szCs w:val="20"/>
        </w:rPr>
        <w:t xml:space="preserve"> Australasian Music Publishers Association submission to the Australian Law Reform Commission Copyright Inquiry Issues Paper at page 1, </w:t>
      </w:r>
      <w:hyperlink r:id="rId3" w:history="1">
        <w:r w:rsidRPr="00745C1D">
          <w:rPr>
            <w:rStyle w:val="Hyperlink"/>
            <w:rFonts w:asciiTheme="minorHAnsi" w:hAnsiTheme="minorHAnsi" w:cs="Arial"/>
            <w:sz w:val="20"/>
            <w:szCs w:val="20"/>
          </w:rPr>
          <w:t>http://www.alrc.gov.au/sites/default/files/subs/189._org_ampal.pdf</w:t>
        </w:r>
      </w:hyperlink>
    </w:p>
  </w:footnote>
  <w:footnote w:id="7">
    <w:p w:rsidR="00745C1D" w:rsidRPr="00745C1D" w:rsidRDefault="00745C1D" w:rsidP="00745C1D">
      <w:pPr>
        <w:pStyle w:val="FootnoteText"/>
        <w:spacing w:line="240" w:lineRule="auto"/>
        <w:rPr>
          <w:rFonts w:asciiTheme="minorHAnsi" w:hAnsiTheme="minorHAnsi"/>
          <w:sz w:val="20"/>
          <w:szCs w:val="20"/>
        </w:rPr>
      </w:pPr>
      <w:r w:rsidRPr="00745C1D">
        <w:rPr>
          <w:rStyle w:val="FootnoteReference"/>
          <w:rFonts w:asciiTheme="minorHAnsi" w:hAnsiTheme="minorHAnsi"/>
          <w:sz w:val="20"/>
          <w:szCs w:val="20"/>
        </w:rPr>
        <w:footnoteRef/>
      </w:r>
      <w:r w:rsidRPr="00745C1D">
        <w:rPr>
          <w:rFonts w:asciiTheme="minorHAnsi" w:hAnsiTheme="minorHAnsi"/>
          <w:sz w:val="20"/>
          <w:szCs w:val="20"/>
        </w:rPr>
        <w:t xml:space="preserve"> Ibid. </w:t>
      </w:r>
    </w:p>
  </w:footnote>
  <w:footnote w:id="8">
    <w:p w:rsidR="00745C1D" w:rsidRPr="00745C1D" w:rsidRDefault="00745C1D" w:rsidP="00745C1D">
      <w:pPr>
        <w:pStyle w:val="FootnoteText"/>
        <w:spacing w:line="240" w:lineRule="auto"/>
        <w:rPr>
          <w:rFonts w:asciiTheme="minorHAnsi" w:hAnsiTheme="minorHAnsi"/>
          <w:sz w:val="20"/>
          <w:szCs w:val="20"/>
        </w:rPr>
      </w:pPr>
      <w:r w:rsidRPr="00745C1D">
        <w:rPr>
          <w:rStyle w:val="FootnoteReference"/>
          <w:rFonts w:asciiTheme="minorHAnsi" w:hAnsiTheme="minorHAnsi"/>
          <w:sz w:val="20"/>
          <w:szCs w:val="20"/>
        </w:rPr>
        <w:footnoteRef/>
      </w:r>
      <w:r w:rsidRPr="00745C1D">
        <w:rPr>
          <w:rFonts w:asciiTheme="minorHAnsi" w:hAnsiTheme="minorHAnsi"/>
          <w:sz w:val="20"/>
          <w:szCs w:val="20"/>
        </w:rPr>
        <w:t xml:space="preserve"> Australian Copyright Council submission to the Australian Law Reform Commission Copyright Inquiry Issues Paper, page 7</w:t>
      </w:r>
    </w:p>
  </w:footnote>
  <w:footnote w:id="9">
    <w:p w:rsidR="00745C1D" w:rsidRPr="00745C1D" w:rsidRDefault="00745C1D" w:rsidP="00745C1D">
      <w:pPr>
        <w:pStyle w:val="FootnoteText"/>
        <w:spacing w:line="240" w:lineRule="auto"/>
        <w:rPr>
          <w:rFonts w:asciiTheme="minorHAnsi" w:hAnsiTheme="minorHAnsi"/>
          <w:sz w:val="20"/>
          <w:szCs w:val="20"/>
        </w:rPr>
      </w:pPr>
      <w:r w:rsidRPr="00745C1D">
        <w:rPr>
          <w:rStyle w:val="FootnoteReference"/>
          <w:rFonts w:asciiTheme="minorHAnsi" w:hAnsiTheme="minorHAnsi"/>
          <w:sz w:val="20"/>
          <w:szCs w:val="20"/>
        </w:rPr>
        <w:footnoteRef/>
      </w:r>
      <w:r w:rsidRPr="00745C1D">
        <w:rPr>
          <w:rFonts w:asciiTheme="minorHAnsi" w:hAnsiTheme="minorHAnsi"/>
          <w:sz w:val="20"/>
          <w:szCs w:val="20"/>
        </w:rPr>
        <w:t xml:space="preserve"> Australian Entertainment &amp; Media Outlook 2012 – 2016, PricewaterhouseCoopers p 143</w:t>
      </w:r>
    </w:p>
  </w:footnote>
  <w:footnote w:id="10">
    <w:p w:rsidR="00745C1D" w:rsidRPr="00745C1D" w:rsidRDefault="00745C1D" w:rsidP="00745C1D">
      <w:pPr>
        <w:pStyle w:val="FootnoteText"/>
        <w:spacing w:line="240" w:lineRule="auto"/>
        <w:rPr>
          <w:rFonts w:asciiTheme="minorHAnsi" w:hAnsiTheme="minorHAnsi"/>
          <w:sz w:val="20"/>
          <w:szCs w:val="20"/>
        </w:rPr>
      </w:pPr>
      <w:r w:rsidRPr="00745C1D">
        <w:rPr>
          <w:rStyle w:val="FootnoteReference"/>
          <w:rFonts w:asciiTheme="minorHAnsi" w:hAnsiTheme="minorHAnsi"/>
          <w:sz w:val="20"/>
          <w:szCs w:val="20"/>
        </w:rPr>
        <w:footnoteRef/>
      </w:r>
      <w:r w:rsidRPr="00745C1D">
        <w:rPr>
          <w:rFonts w:asciiTheme="minorHAnsi" w:hAnsiTheme="minorHAnsi"/>
          <w:sz w:val="20"/>
          <w:szCs w:val="20"/>
        </w:rPr>
        <w:t xml:space="preserve"> Ibid.</w:t>
      </w:r>
    </w:p>
  </w:footnote>
  <w:footnote w:id="11">
    <w:p w:rsidR="00745C1D" w:rsidRPr="00745C1D" w:rsidRDefault="00745C1D" w:rsidP="00745C1D">
      <w:pPr>
        <w:pStyle w:val="FootnoteText"/>
        <w:spacing w:line="240" w:lineRule="auto"/>
        <w:rPr>
          <w:rFonts w:asciiTheme="minorHAnsi" w:hAnsiTheme="minorHAnsi"/>
          <w:sz w:val="20"/>
          <w:szCs w:val="20"/>
        </w:rPr>
      </w:pPr>
      <w:r w:rsidRPr="00745C1D">
        <w:rPr>
          <w:rStyle w:val="FootnoteReference"/>
          <w:rFonts w:asciiTheme="minorHAnsi" w:hAnsiTheme="minorHAnsi"/>
          <w:sz w:val="20"/>
          <w:szCs w:val="20"/>
        </w:rPr>
        <w:footnoteRef/>
      </w:r>
      <w:r w:rsidRPr="00745C1D">
        <w:rPr>
          <w:rFonts w:asciiTheme="minorHAnsi" w:hAnsiTheme="minorHAnsi"/>
          <w:sz w:val="20"/>
          <w:szCs w:val="20"/>
        </w:rPr>
        <w:t xml:space="preserve"> APRA/AMCOS submission to the Department of Broadband, Communications and the Digital Economy Convergence Review 28 October 2010 </w:t>
      </w:r>
      <w:r w:rsidRPr="00745C1D">
        <w:rPr>
          <w:rFonts w:asciiTheme="minorHAnsi" w:hAnsiTheme="minorHAnsi" w:cs="Arial"/>
          <w:sz w:val="20"/>
          <w:szCs w:val="20"/>
        </w:rPr>
        <w:t xml:space="preserve">- </w:t>
      </w:r>
      <w:hyperlink r:id="rId4" w:history="1">
        <w:r w:rsidRPr="00745C1D">
          <w:rPr>
            <w:rStyle w:val="Hyperlink"/>
            <w:rFonts w:asciiTheme="minorHAnsi" w:hAnsiTheme="minorHAnsi" w:cs="Arial"/>
            <w:sz w:val="20"/>
            <w:szCs w:val="20"/>
          </w:rPr>
          <w:t>http://www.apra-amcos.com.au/downloads/file/ABOUT/APRA_AMCOS%20Submission_Convergence%20Review_28.10.11.pdf</w:t>
        </w:r>
      </w:hyperlink>
    </w:p>
  </w:footnote>
  <w:footnote w:id="12">
    <w:p w:rsidR="00745C1D" w:rsidRPr="00745C1D" w:rsidRDefault="00745C1D" w:rsidP="00745C1D">
      <w:pPr>
        <w:pStyle w:val="FootnoteText"/>
        <w:spacing w:line="240" w:lineRule="auto"/>
        <w:rPr>
          <w:rFonts w:asciiTheme="minorHAnsi" w:hAnsiTheme="minorHAnsi"/>
          <w:sz w:val="20"/>
          <w:szCs w:val="20"/>
          <w:lang w:val="it-IT"/>
        </w:rPr>
      </w:pPr>
      <w:r w:rsidRPr="00745C1D">
        <w:rPr>
          <w:rStyle w:val="FootnoteReference"/>
          <w:rFonts w:asciiTheme="minorHAnsi" w:hAnsiTheme="minorHAnsi"/>
          <w:sz w:val="20"/>
          <w:szCs w:val="20"/>
        </w:rPr>
        <w:footnoteRef/>
      </w:r>
      <w:r w:rsidRPr="00745C1D">
        <w:rPr>
          <w:rFonts w:asciiTheme="minorHAnsi" w:hAnsiTheme="minorHAnsi"/>
          <w:sz w:val="20"/>
          <w:szCs w:val="20"/>
          <w:lang w:val="it-IT"/>
        </w:rPr>
        <w:t xml:space="preserve"> Above n 1 paragraph 4.1.4</w:t>
      </w:r>
    </w:p>
  </w:footnote>
  <w:footnote w:id="13">
    <w:p w:rsidR="00745C1D" w:rsidRPr="00745C1D" w:rsidRDefault="00745C1D" w:rsidP="00745C1D">
      <w:pPr>
        <w:pStyle w:val="FootnoteText"/>
        <w:spacing w:line="240" w:lineRule="auto"/>
        <w:rPr>
          <w:rFonts w:asciiTheme="minorHAnsi" w:hAnsiTheme="minorHAnsi"/>
          <w:sz w:val="20"/>
          <w:szCs w:val="20"/>
          <w:lang w:val="it-IT"/>
        </w:rPr>
      </w:pPr>
      <w:r w:rsidRPr="00745C1D">
        <w:rPr>
          <w:rStyle w:val="FootnoteReference"/>
          <w:rFonts w:asciiTheme="minorHAnsi" w:hAnsiTheme="minorHAnsi"/>
          <w:sz w:val="20"/>
          <w:szCs w:val="20"/>
        </w:rPr>
        <w:footnoteRef/>
      </w:r>
      <w:r w:rsidRPr="00745C1D">
        <w:rPr>
          <w:rFonts w:asciiTheme="minorHAnsi" w:hAnsiTheme="minorHAnsi"/>
          <w:sz w:val="20"/>
          <w:szCs w:val="20"/>
          <w:lang w:val="it-IT"/>
        </w:rPr>
        <w:t xml:space="preserve"> Above n 1 paragraph 4.1.5</w:t>
      </w:r>
    </w:p>
  </w:footnote>
  <w:footnote w:id="14">
    <w:p w:rsidR="00745C1D" w:rsidRPr="00745C1D" w:rsidRDefault="00745C1D" w:rsidP="00745C1D">
      <w:pPr>
        <w:pStyle w:val="FootnoteText"/>
        <w:spacing w:line="240" w:lineRule="auto"/>
        <w:rPr>
          <w:rFonts w:asciiTheme="minorHAnsi" w:hAnsiTheme="minorHAnsi"/>
          <w:sz w:val="20"/>
          <w:szCs w:val="20"/>
          <w:lang w:val="it-IT"/>
        </w:rPr>
      </w:pPr>
      <w:r w:rsidRPr="00745C1D">
        <w:rPr>
          <w:rStyle w:val="FootnoteReference"/>
          <w:rFonts w:asciiTheme="minorHAnsi" w:hAnsiTheme="minorHAnsi"/>
          <w:sz w:val="20"/>
          <w:szCs w:val="20"/>
        </w:rPr>
        <w:footnoteRef/>
      </w:r>
      <w:r w:rsidRPr="00745C1D">
        <w:rPr>
          <w:rFonts w:asciiTheme="minorHAnsi" w:hAnsiTheme="minorHAnsi"/>
          <w:sz w:val="20"/>
          <w:szCs w:val="20"/>
          <w:lang w:val="it-IT"/>
        </w:rPr>
        <w:t xml:space="preserve"> Above n 1 paragraph 9</w:t>
      </w:r>
    </w:p>
  </w:footnote>
  <w:footnote w:id="15">
    <w:p w:rsidR="00745C1D" w:rsidRPr="00745C1D" w:rsidRDefault="00745C1D" w:rsidP="00745C1D">
      <w:pPr>
        <w:pStyle w:val="FootnoteText"/>
        <w:spacing w:line="240" w:lineRule="auto"/>
        <w:rPr>
          <w:rFonts w:asciiTheme="minorHAnsi" w:hAnsiTheme="minorHAnsi"/>
          <w:sz w:val="20"/>
          <w:szCs w:val="20"/>
          <w:lang w:val="it-IT"/>
        </w:rPr>
      </w:pPr>
      <w:r w:rsidRPr="00745C1D">
        <w:rPr>
          <w:rStyle w:val="FootnoteReference"/>
          <w:rFonts w:asciiTheme="minorHAnsi" w:hAnsiTheme="minorHAnsi"/>
          <w:sz w:val="20"/>
          <w:szCs w:val="20"/>
        </w:rPr>
        <w:footnoteRef/>
      </w:r>
      <w:r w:rsidRPr="00745C1D">
        <w:rPr>
          <w:rFonts w:asciiTheme="minorHAnsi" w:hAnsiTheme="minorHAnsi"/>
          <w:sz w:val="20"/>
          <w:szCs w:val="20"/>
          <w:lang w:val="it-IT"/>
        </w:rPr>
        <w:t xml:space="preserve"> Ibid.</w:t>
      </w:r>
    </w:p>
  </w:footnote>
  <w:footnote w:id="16">
    <w:p w:rsidR="00745C1D" w:rsidRPr="00745C1D" w:rsidRDefault="00745C1D" w:rsidP="00745C1D">
      <w:pPr>
        <w:pStyle w:val="FootnoteText"/>
        <w:spacing w:line="240" w:lineRule="auto"/>
        <w:rPr>
          <w:rFonts w:asciiTheme="minorHAnsi" w:hAnsiTheme="minorHAnsi"/>
          <w:sz w:val="20"/>
          <w:szCs w:val="20"/>
        </w:rPr>
      </w:pPr>
      <w:r w:rsidRPr="00745C1D">
        <w:rPr>
          <w:rStyle w:val="FootnoteReference"/>
          <w:rFonts w:asciiTheme="minorHAnsi" w:hAnsiTheme="minorHAnsi"/>
          <w:sz w:val="20"/>
          <w:szCs w:val="20"/>
        </w:rPr>
        <w:footnoteRef/>
      </w:r>
      <w:r w:rsidRPr="00745C1D">
        <w:rPr>
          <w:rFonts w:asciiTheme="minorHAnsi" w:hAnsiTheme="minorHAnsi"/>
          <w:sz w:val="20"/>
          <w:szCs w:val="20"/>
        </w:rPr>
        <w:t xml:space="preserve"> Australian Competition and Consumer Commission, submission to the Australian Law Reform Commission Copyright Inquiry Issues Paper </w:t>
      </w:r>
      <w:hyperlink r:id="rId5" w:history="1">
        <w:r w:rsidRPr="00745C1D">
          <w:rPr>
            <w:rStyle w:val="Hyperlink"/>
            <w:rFonts w:asciiTheme="minorHAnsi" w:hAnsiTheme="minorHAnsi" w:cs="Arial"/>
            <w:sz w:val="20"/>
            <w:szCs w:val="20"/>
          </w:rPr>
          <w:t>http://www.alrc.gov.au/sites/default/files/subs/165._org_accc.pdf</w:t>
        </w:r>
      </w:hyperlink>
      <w:r w:rsidRPr="00745C1D">
        <w:rPr>
          <w:rFonts w:asciiTheme="minorHAnsi" w:hAnsiTheme="minorHAnsi" w:cs="Arial"/>
          <w:sz w:val="20"/>
          <w:szCs w:val="20"/>
        </w:rPr>
        <w:t xml:space="preserve"> para 5.12</w:t>
      </w:r>
    </w:p>
  </w:footnote>
  <w:footnote w:id="17">
    <w:p w:rsidR="00745C1D" w:rsidRPr="00745C1D" w:rsidRDefault="00745C1D" w:rsidP="00745C1D">
      <w:pPr>
        <w:pStyle w:val="FootnoteText"/>
        <w:spacing w:line="240" w:lineRule="auto"/>
        <w:rPr>
          <w:rFonts w:asciiTheme="minorHAnsi" w:hAnsiTheme="minorHAnsi"/>
          <w:sz w:val="20"/>
          <w:szCs w:val="20"/>
        </w:rPr>
      </w:pPr>
      <w:r w:rsidRPr="00745C1D">
        <w:rPr>
          <w:rStyle w:val="FootnoteReference"/>
          <w:rFonts w:asciiTheme="minorHAnsi" w:hAnsiTheme="minorHAnsi"/>
          <w:sz w:val="20"/>
          <w:szCs w:val="20"/>
        </w:rPr>
        <w:footnoteRef/>
      </w:r>
      <w:r w:rsidRPr="00745C1D">
        <w:rPr>
          <w:rFonts w:asciiTheme="minorHAnsi" w:hAnsiTheme="minorHAnsi"/>
          <w:sz w:val="20"/>
          <w:szCs w:val="20"/>
        </w:rPr>
        <w:t xml:space="preserve"> Lindgren KE, </w:t>
      </w:r>
      <w:r w:rsidRPr="00745C1D">
        <w:rPr>
          <w:rFonts w:asciiTheme="minorHAnsi" w:hAnsiTheme="minorHAnsi" w:cstheme="minorHAnsi"/>
          <w:i/>
          <w:iCs/>
          <w:sz w:val="20"/>
          <w:szCs w:val="20"/>
        </w:rPr>
        <w:t xml:space="preserve">Review of Copyright Collecting Societies’ Compliance with their Code of Conduct 2011 – 2012, </w:t>
      </w:r>
      <w:r w:rsidRPr="00745C1D">
        <w:rPr>
          <w:rFonts w:asciiTheme="minorHAnsi" w:hAnsiTheme="minorHAnsi" w:cstheme="minorHAnsi"/>
          <w:sz w:val="20"/>
          <w:szCs w:val="20"/>
        </w:rPr>
        <w:t xml:space="preserve">March 2013, </w:t>
      </w:r>
      <w:hyperlink r:id="rId6" w:history="1">
        <w:r w:rsidRPr="00745C1D">
          <w:rPr>
            <w:rStyle w:val="Hyperlink"/>
            <w:rFonts w:asciiTheme="minorHAnsi" w:hAnsiTheme="minorHAnsi" w:cstheme="minorHAnsi"/>
            <w:sz w:val="20"/>
            <w:szCs w:val="20"/>
          </w:rPr>
          <w:t>http://www.screenrights.org/sites/default/files/uploads/CollectingSocieties_Code_Reviewers_Report_Final20Mar13.pdf</w:t>
        </w:r>
      </w:hyperlink>
      <w:r w:rsidRPr="00745C1D">
        <w:rPr>
          <w:rFonts w:asciiTheme="minorHAnsi" w:hAnsiTheme="minorHAnsi" w:cstheme="minorHAnsi"/>
          <w:sz w:val="20"/>
          <w:szCs w:val="20"/>
        </w:rPr>
        <w:t xml:space="preserve"> p 7</w:t>
      </w:r>
    </w:p>
  </w:footnote>
  <w:footnote w:id="18">
    <w:p w:rsidR="00745C1D" w:rsidRPr="00745C1D" w:rsidRDefault="00745C1D" w:rsidP="00745C1D">
      <w:pPr>
        <w:pStyle w:val="FootnoteText"/>
        <w:spacing w:line="240" w:lineRule="auto"/>
        <w:rPr>
          <w:rFonts w:asciiTheme="minorHAnsi" w:hAnsiTheme="minorHAnsi"/>
          <w:sz w:val="20"/>
          <w:szCs w:val="20"/>
        </w:rPr>
      </w:pPr>
      <w:r w:rsidRPr="00745C1D">
        <w:rPr>
          <w:rStyle w:val="FootnoteReference"/>
          <w:rFonts w:asciiTheme="minorHAnsi" w:hAnsiTheme="minorHAnsi"/>
          <w:sz w:val="20"/>
          <w:szCs w:val="20"/>
        </w:rPr>
        <w:footnoteRef/>
      </w:r>
      <w:r w:rsidRPr="00745C1D">
        <w:rPr>
          <w:rFonts w:asciiTheme="minorHAnsi" w:hAnsiTheme="minorHAnsi"/>
          <w:sz w:val="20"/>
          <w:szCs w:val="20"/>
        </w:rPr>
        <w:t xml:space="preserve"> APRA Distribution Practices, </w:t>
      </w:r>
      <w:hyperlink r:id="rId7" w:history="1">
        <w:r w:rsidRPr="00745C1D">
          <w:rPr>
            <w:rStyle w:val="Hyperlink"/>
            <w:rFonts w:asciiTheme="minorHAnsi" w:hAnsiTheme="minorHAnsi"/>
            <w:sz w:val="20"/>
            <w:szCs w:val="20"/>
          </w:rPr>
          <w:t>http://www.apra-amcos.com.au/downloads/file/ABOUT/APRA-Distribution-Practices.pdf</w:t>
        </w:r>
      </w:hyperlink>
      <w:r w:rsidRPr="00745C1D">
        <w:rPr>
          <w:rFonts w:asciiTheme="minorHAnsi" w:hAnsiTheme="minorHAnsi"/>
          <w:sz w:val="20"/>
          <w:szCs w:val="20"/>
        </w:rPr>
        <w:t xml:space="preserve"> p 37</w:t>
      </w:r>
    </w:p>
  </w:footnote>
  <w:footnote w:id="19">
    <w:p w:rsidR="00745C1D" w:rsidRPr="00745C1D" w:rsidRDefault="00745C1D" w:rsidP="00745C1D">
      <w:pPr>
        <w:pStyle w:val="FootnoteText"/>
        <w:spacing w:line="240" w:lineRule="auto"/>
        <w:rPr>
          <w:rFonts w:asciiTheme="minorHAnsi" w:hAnsiTheme="minorHAnsi"/>
          <w:sz w:val="20"/>
          <w:szCs w:val="20"/>
        </w:rPr>
      </w:pPr>
      <w:r w:rsidRPr="00745C1D">
        <w:rPr>
          <w:rStyle w:val="FootnoteReference"/>
          <w:rFonts w:asciiTheme="minorHAnsi" w:hAnsiTheme="minorHAnsi"/>
          <w:sz w:val="20"/>
          <w:szCs w:val="20"/>
        </w:rPr>
        <w:footnoteRef/>
      </w:r>
      <w:r w:rsidRPr="00745C1D">
        <w:rPr>
          <w:rFonts w:asciiTheme="minorHAnsi" w:hAnsiTheme="minorHAnsi"/>
          <w:sz w:val="20"/>
          <w:szCs w:val="20"/>
        </w:rPr>
        <w:t xml:space="preserve"> Ibid.</w:t>
      </w:r>
    </w:p>
  </w:footnote>
  <w:footnote w:id="20">
    <w:p w:rsidR="00745C1D" w:rsidRPr="00745C1D" w:rsidRDefault="00745C1D" w:rsidP="00745C1D">
      <w:pPr>
        <w:pStyle w:val="FootnoteText"/>
        <w:spacing w:line="240" w:lineRule="auto"/>
        <w:rPr>
          <w:rFonts w:asciiTheme="minorHAnsi" w:hAnsiTheme="minorHAnsi"/>
          <w:sz w:val="20"/>
          <w:szCs w:val="20"/>
        </w:rPr>
      </w:pPr>
      <w:r w:rsidRPr="00745C1D">
        <w:rPr>
          <w:rStyle w:val="FootnoteReference"/>
          <w:rFonts w:asciiTheme="minorHAnsi" w:hAnsiTheme="minorHAnsi"/>
          <w:sz w:val="20"/>
          <w:szCs w:val="20"/>
        </w:rPr>
        <w:footnoteRef/>
      </w:r>
      <w:r w:rsidRPr="00745C1D">
        <w:rPr>
          <w:rFonts w:asciiTheme="minorHAnsi" w:hAnsiTheme="minorHAnsi"/>
          <w:sz w:val="20"/>
          <w:szCs w:val="20"/>
        </w:rPr>
        <w:t xml:space="preserve"> Changes outlined in Attachment A,  APRA’s report to the ACCC under condition C2 re disputes notified to APRA under its ADR process , 1 April 2012 to 31 March 2013 (30 April 2013), Dispute Report 4</w:t>
      </w:r>
    </w:p>
  </w:footnote>
  <w:footnote w:id="21">
    <w:p w:rsidR="00745C1D" w:rsidRPr="00745C1D" w:rsidRDefault="00745C1D" w:rsidP="00745C1D">
      <w:pPr>
        <w:pStyle w:val="FootnoteText"/>
        <w:spacing w:line="240" w:lineRule="auto"/>
        <w:rPr>
          <w:rFonts w:asciiTheme="minorHAnsi" w:hAnsiTheme="minorHAnsi"/>
          <w:sz w:val="20"/>
          <w:szCs w:val="20"/>
        </w:rPr>
      </w:pPr>
      <w:r w:rsidRPr="00745C1D">
        <w:rPr>
          <w:rStyle w:val="FootnoteReference"/>
          <w:rFonts w:asciiTheme="minorHAnsi" w:hAnsiTheme="minorHAnsi"/>
          <w:sz w:val="20"/>
          <w:szCs w:val="20"/>
        </w:rPr>
        <w:footnoteRef/>
      </w:r>
      <w:r w:rsidRPr="00745C1D">
        <w:rPr>
          <w:rFonts w:asciiTheme="minorHAnsi" w:hAnsiTheme="minorHAnsi"/>
          <w:sz w:val="20"/>
          <w:szCs w:val="20"/>
        </w:rPr>
        <w:t xml:space="preserve"> Ibid.</w:t>
      </w:r>
    </w:p>
  </w:footnote>
  <w:footnote w:id="22">
    <w:p w:rsidR="00745C1D" w:rsidRPr="00745C1D" w:rsidRDefault="00745C1D" w:rsidP="00745C1D">
      <w:pPr>
        <w:pStyle w:val="FootnoteText"/>
        <w:spacing w:line="240" w:lineRule="auto"/>
        <w:rPr>
          <w:rFonts w:asciiTheme="minorHAnsi" w:hAnsiTheme="minorHAnsi"/>
          <w:sz w:val="20"/>
          <w:szCs w:val="20"/>
          <w:lang w:val="it-IT"/>
        </w:rPr>
      </w:pPr>
      <w:r w:rsidRPr="00745C1D">
        <w:rPr>
          <w:rStyle w:val="FootnoteReference"/>
          <w:rFonts w:asciiTheme="minorHAnsi" w:hAnsiTheme="minorHAnsi"/>
          <w:sz w:val="20"/>
          <w:szCs w:val="20"/>
        </w:rPr>
        <w:footnoteRef/>
      </w:r>
      <w:r w:rsidRPr="00745C1D">
        <w:rPr>
          <w:rFonts w:asciiTheme="minorHAnsi" w:hAnsiTheme="minorHAnsi"/>
          <w:sz w:val="20"/>
          <w:szCs w:val="20"/>
          <w:lang w:val="it-IT"/>
        </w:rPr>
        <w:t xml:space="preserve"> Ibid 4.1.38</w:t>
      </w:r>
    </w:p>
  </w:footnote>
  <w:footnote w:id="23">
    <w:p w:rsidR="00745C1D" w:rsidRPr="00745C1D" w:rsidRDefault="00745C1D" w:rsidP="00745C1D">
      <w:pPr>
        <w:pStyle w:val="FootnoteText"/>
        <w:spacing w:line="240" w:lineRule="auto"/>
        <w:rPr>
          <w:rFonts w:asciiTheme="minorHAnsi" w:hAnsiTheme="minorHAnsi"/>
          <w:sz w:val="20"/>
          <w:szCs w:val="20"/>
        </w:rPr>
      </w:pPr>
      <w:r w:rsidRPr="00745C1D">
        <w:rPr>
          <w:rStyle w:val="FootnoteReference"/>
          <w:rFonts w:asciiTheme="minorHAnsi" w:hAnsiTheme="minorHAnsi"/>
          <w:sz w:val="20"/>
          <w:szCs w:val="20"/>
        </w:rPr>
        <w:footnoteRef/>
      </w:r>
      <w:r w:rsidRPr="00745C1D">
        <w:rPr>
          <w:rFonts w:asciiTheme="minorHAnsi" w:hAnsiTheme="minorHAnsi"/>
          <w:sz w:val="20"/>
          <w:szCs w:val="20"/>
        </w:rPr>
        <w:t xml:space="preserve"> Recommendation 14 - Australian Digital Alliance and Australian Libraries Copyright Committee, submission to Australian Competition and Consumer Commission on APRA Draft Determination on Authorisation March 2010 </w:t>
      </w:r>
      <w:hyperlink r:id="rId8" w:history="1">
        <w:r w:rsidRPr="00745C1D">
          <w:rPr>
            <w:rStyle w:val="Hyperlink"/>
            <w:rFonts w:asciiTheme="minorHAnsi" w:hAnsiTheme="minorHAnsi"/>
            <w:sz w:val="20"/>
            <w:szCs w:val="20"/>
          </w:rPr>
          <w:t>http://digital.org.au/sites/digital.org.au/files/documents/20100302ADAALCC-ACCCdraftdeterminationforAPRA.pdf</w:t>
        </w:r>
      </w:hyperlink>
      <w:r w:rsidRPr="00745C1D">
        <w:rPr>
          <w:rFonts w:asciiTheme="minorHAnsi" w:hAnsiTheme="minorHAnsi"/>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B4" w:rsidRDefault="004D12B4" w:rsidP="00964AD3">
    <w:pPr>
      <w:tabs>
        <w:tab w:val="left" w:pos="-360"/>
        <w:tab w:val="right" w:pos="8280"/>
        <w:tab w:val="left" w:pos="8460"/>
      </w:tabs>
      <w:spacing w:after="60"/>
      <w:ind w:left="-540"/>
      <w:jc w:val="right"/>
      <w:rPr>
        <w:rStyle w:val="PageNumber"/>
        <w:rFonts w:ascii="Arial" w:hAnsi="Arial" w:cs="Arial"/>
        <w:b/>
        <w:sz w:val="16"/>
        <w:szCs w:val="16"/>
      </w:rPr>
    </w:pPr>
    <w:r>
      <w:rPr>
        <w:rStyle w:val="PageNumber"/>
        <w:rFonts w:ascii="Arial" w:hAnsi="Arial" w:cs="Arial"/>
        <w:sz w:val="16"/>
        <w:szCs w:val="16"/>
      </w:rPr>
      <w:tab/>
      <w:t xml:space="preserve">    </w:t>
    </w:r>
    <w:r w:rsidRPr="00100373">
      <w:rPr>
        <w:rStyle w:val="PageNumber"/>
        <w:rFonts w:ascii="Arial" w:hAnsi="Arial" w:cs="Arial"/>
        <w:sz w:val="16"/>
        <w:szCs w:val="16"/>
      </w:rPr>
      <w:t>Australian Digital Alliance</w:t>
    </w:r>
    <w:r w:rsidRPr="00C40CCE">
      <w:rPr>
        <w:rFonts w:ascii="Arial" w:hAnsi="Arial" w:cs="Arial"/>
        <w:sz w:val="16"/>
        <w:szCs w:val="16"/>
      </w:rPr>
      <w:tab/>
    </w:r>
    <w:r>
      <w:rPr>
        <w:rFonts w:ascii="Arial" w:hAnsi="Arial" w:cs="Arial"/>
        <w:sz w:val="16"/>
        <w:szCs w:val="16"/>
      </w:rPr>
      <w:t xml:space="preserve">  </w:t>
    </w:r>
  </w:p>
  <w:p w:rsidR="004D12B4" w:rsidRDefault="004D12B4" w:rsidP="00964AD3">
    <w:pPr>
      <w:pStyle w:val="Header"/>
      <w:rPr>
        <w:rFonts w:ascii="Arial" w:hAnsi="Arial" w:cs="Arial"/>
        <w:noProof/>
        <w:sz w:val="16"/>
        <w:szCs w:val="16"/>
      </w:rPr>
    </w:pPr>
    <w:r w:rsidRPr="00BF4E1F">
      <w:rPr>
        <w:rFonts w:ascii="Arial" w:hAnsi="Arial" w:cs="Arial"/>
        <w:noProof/>
        <w:sz w:val="16"/>
        <w:szCs w:val="16"/>
      </w:rPr>
      <w:t>Australian Libraries Copyright Committee</w:t>
    </w:r>
  </w:p>
  <w:p w:rsidR="004D12B4" w:rsidRDefault="004D12B4" w:rsidP="00964AD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B4" w:rsidRPr="00802405" w:rsidRDefault="00745C1D">
    <w:pPr>
      <w:pStyle w:val="Header"/>
      <w:rPr>
        <w:rFonts w:ascii="Arial Narrow" w:hAnsi="Arial Narrow" w:cs="Arial Bold"/>
        <w:b/>
        <w:bCs/>
        <w:color w:val="648FC4"/>
        <w:spacing w:val="-20"/>
        <w:kern w:val="86"/>
        <w:sz w:val="84"/>
        <w:szCs w:val="84"/>
      </w:rPr>
    </w:pPr>
    <w:r>
      <w:rPr>
        <w:noProof/>
        <w:lang w:val="en-US" w:eastAsia="en-US"/>
      </w:rPr>
      <w:drawing>
        <wp:anchor distT="0" distB="0" distL="114300" distR="114300" simplePos="0" relativeHeight="251658752" behindDoc="1" locked="0" layoutInCell="1" allowOverlap="1">
          <wp:simplePos x="0" y="0"/>
          <wp:positionH relativeFrom="page">
            <wp:posOffset>5179060</wp:posOffset>
          </wp:positionH>
          <wp:positionV relativeFrom="page">
            <wp:posOffset>723900</wp:posOffset>
          </wp:positionV>
          <wp:extent cx="1159510" cy="770890"/>
          <wp:effectExtent l="0" t="0" r="889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510" cy="770890"/>
                  </a:xfrm>
                  <a:prstGeom prst="rect">
                    <a:avLst/>
                  </a:prstGeom>
                  <a:noFill/>
                </pic:spPr>
              </pic:pic>
            </a:graphicData>
          </a:graphic>
          <wp14:sizeRelH relativeFrom="page">
            <wp14:pctWidth>0</wp14:pctWidth>
          </wp14:sizeRelH>
          <wp14:sizeRelV relativeFrom="page">
            <wp14:pctHeight>0</wp14:pctHeight>
          </wp14:sizeRelV>
        </wp:anchor>
      </w:drawing>
    </w:r>
    <w:r w:rsidR="004D12B4">
      <w:rPr>
        <w:rFonts w:ascii="Arial Narrow" w:hAnsi="Arial Narrow" w:cs="Arial"/>
        <w:b/>
        <w:bCs/>
        <w:noProof/>
        <w:color w:val="648FC4"/>
        <w:spacing w:val="-90"/>
        <w:kern w:val="86"/>
        <w:sz w:val="84"/>
        <w:szCs w:val="84"/>
        <w:lang w:val="en-US" w:eastAsia="zh-CN" w:bidi="th-TH"/>
      </w:rPr>
      <w:t xml:space="preserve"> </w:t>
    </w:r>
    <w:r w:rsidR="004D12B4" w:rsidRPr="00802405">
      <w:rPr>
        <w:rFonts w:ascii="Arial Narrow" w:hAnsi="Arial Narrow" w:cs="Arial Bold"/>
        <w:b/>
        <w:bCs/>
        <w:noProof/>
        <w:color w:val="648FC4"/>
        <w:spacing w:val="-20"/>
        <w:kern w:val="86"/>
        <w:sz w:val="84"/>
        <w:szCs w:val="84"/>
        <w:lang w:val="en-US" w:eastAsia="zh-CN" w:bidi="th-TH"/>
      </w:rPr>
      <w:t>AL©C</w:t>
    </w:r>
  </w:p>
  <w:p w:rsidR="004D12B4" w:rsidRPr="00802405" w:rsidRDefault="004D12B4">
    <w:pPr>
      <w:pStyle w:val="Header"/>
      <w:rPr>
        <w:rFonts w:ascii="Arial Narrow" w:hAnsi="Arial Narrow"/>
        <w:b/>
        <w:bCs/>
        <w:color w:val="4F81BD"/>
      </w:rPr>
    </w:pPr>
    <w:r>
      <w:rPr>
        <w:rFonts w:ascii="Arial Narrow" w:hAnsi="Arial Narrow"/>
        <w:b/>
        <w:bCs/>
        <w:color w:val="37648D"/>
        <w:sz w:val="25"/>
        <w:szCs w:val="25"/>
      </w:rPr>
      <w:t xml:space="preserve">  </w:t>
    </w:r>
    <w:r w:rsidRPr="00802405">
      <w:rPr>
        <w:rFonts w:ascii="Arial Narrow" w:hAnsi="Arial Narrow"/>
        <w:b/>
        <w:bCs/>
        <w:color w:val="4F81BD"/>
        <w:sz w:val="25"/>
        <w:szCs w:val="25"/>
      </w:rPr>
      <w:t>Australian Libraries Copyright Committee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7AACC8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FBF4715C"/>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87A045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00AE66C"/>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7D8DF26"/>
    <w:lvl w:ilvl="0">
      <w:start w:val="1"/>
      <w:numFmt w:val="decimal"/>
      <w:lvlText w:val="%1."/>
      <w:lvlJc w:val="left"/>
      <w:pPr>
        <w:tabs>
          <w:tab w:val="num" w:pos="360"/>
        </w:tabs>
        <w:ind w:left="360" w:hanging="360"/>
      </w:pPr>
      <w:rPr>
        <w:rFonts w:cs="Times New Roman"/>
      </w:rPr>
    </w:lvl>
  </w:abstractNum>
  <w:abstractNum w:abstractNumId="5">
    <w:nsid w:val="089B4642"/>
    <w:multiLevelType w:val="hybridMultilevel"/>
    <w:tmpl w:val="49D0349A"/>
    <w:lvl w:ilvl="0" w:tplc="81FABF4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840913"/>
    <w:multiLevelType w:val="hybridMultilevel"/>
    <w:tmpl w:val="74963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515204"/>
    <w:multiLevelType w:val="multilevel"/>
    <w:tmpl w:val="962C7D8E"/>
    <w:lvl w:ilvl="0">
      <w:start w:val="1"/>
      <w:numFmt w:val="decimal"/>
      <w:pStyle w:val="NumberedSpacing"/>
      <w:lvlText w:val="%1."/>
      <w:lvlJc w:val="left"/>
      <w:pPr>
        <w:tabs>
          <w:tab w:val="num" w:pos="368"/>
        </w:tabs>
        <w:ind w:left="368" w:hanging="368"/>
      </w:pPr>
      <w:rPr>
        <w:rFonts w:ascii="Tahoma" w:hAnsi="Tahoma" w:cs="Times New Roman" w:hint="default"/>
        <w:sz w:val="24"/>
        <w:szCs w:val="24"/>
      </w:rPr>
    </w:lvl>
    <w:lvl w:ilvl="1">
      <w:start w:val="1"/>
      <w:numFmt w:val="bullet"/>
      <w:lvlText w:val=""/>
      <w:lvlJc w:val="left"/>
      <w:pPr>
        <w:tabs>
          <w:tab w:val="num" w:pos="709"/>
        </w:tabs>
        <w:ind w:left="709" w:firstLine="229"/>
      </w:pPr>
      <w:rPr>
        <w:rFonts w:ascii="Symbol" w:hAnsi="Symbol" w:hint="default"/>
        <w:sz w:val="24"/>
      </w:rPr>
    </w:lvl>
    <w:lvl w:ilvl="2">
      <w:start w:val="1"/>
      <w:numFmt w:val="lowerRoman"/>
      <w:lvlText w:val="%3."/>
      <w:lvlJc w:val="right"/>
      <w:pPr>
        <w:tabs>
          <w:tab w:val="num" w:pos="2018"/>
        </w:tabs>
        <w:ind w:left="2018" w:hanging="180"/>
      </w:pPr>
      <w:rPr>
        <w:rFonts w:cs="Times New Roman" w:hint="default"/>
      </w:rPr>
    </w:lvl>
    <w:lvl w:ilvl="3">
      <w:start w:val="1"/>
      <w:numFmt w:val="decimal"/>
      <w:lvlText w:val="%4."/>
      <w:lvlJc w:val="left"/>
      <w:pPr>
        <w:tabs>
          <w:tab w:val="num" w:pos="2738"/>
        </w:tabs>
        <w:ind w:left="2738" w:hanging="360"/>
      </w:pPr>
      <w:rPr>
        <w:rFonts w:cs="Times New Roman" w:hint="default"/>
      </w:rPr>
    </w:lvl>
    <w:lvl w:ilvl="4">
      <w:start w:val="1"/>
      <w:numFmt w:val="lowerLetter"/>
      <w:lvlText w:val="%5."/>
      <w:lvlJc w:val="left"/>
      <w:pPr>
        <w:tabs>
          <w:tab w:val="num" w:pos="3458"/>
        </w:tabs>
        <w:ind w:left="3458" w:hanging="360"/>
      </w:pPr>
      <w:rPr>
        <w:rFonts w:cs="Times New Roman" w:hint="default"/>
      </w:rPr>
    </w:lvl>
    <w:lvl w:ilvl="5">
      <w:start w:val="1"/>
      <w:numFmt w:val="lowerRoman"/>
      <w:lvlText w:val="%6."/>
      <w:lvlJc w:val="right"/>
      <w:pPr>
        <w:tabs>
          <w:tab w:val="num" w:pos="4178"/>
        </w:tabs>
        <w:ind w:left="4178" w:hanging="180"/>
      </w:pPr>
      <w:rPr>
        <w:rFonts w:cs="Times New Roman" w:hint="default"/>
      </w:rPr>
    </w:lvl>
    <w:lvl w:ilvl="6">
      <w:start w:val="1"/>
      <w:numFmt w:val="decimal"/>
      <w:lvlText w:val="%7."/>
      <w:lvlJc w:val="left"/>
      <w:pPr>
        <w:tabs>
          <w:tab w:val="num" w:pos="4898"/>
        </w:tabs>
        <w:ind w:left="4898" w:hanging="360"/>
      </w:pPr>
      <w:rPr>
        <w:rFonts w:cs="Times New Roman" w:hint="default"/>
      </w:rPr>
    </w:lvl>
    <w:lvl w:ilvl="7">
      <w:start w:val="1"/>
      <w:numFmt w:val="lowerLetter"/>
      <w:lvlText w:val="%8."/>
      <w:lvlJc w:val="left"/>
      <w:pPr>
        <w:tabs>
          <w:tab w:val="num" w:pos="5618"/>
        </w:tabs>
        <w:ind w:left="5618" w:hanging="360"/>
      </w:pPr>
      <w:rPr>
        <w:rFonts w:cs="Times New Roman" w:hint="default"/>
      </w:rPr>
    </w:lvl>
    <w:lvl w:ilvl="8">
      <w:start w:val="1"/>
      <w:numFmt w:val="lowerRoman"/>
      <w:lvlText w:val="%9."/>
      <w:lvlJc w:val="right"/>
      <w:pPr>
        <w:tabs>
          <w:tab w:val="num" w:pos="6338"/>
        </w:tabs>
        <w:ind w:left="6338" w:hanging="180"/>
      </w:pPr>
      <w:rPr>
        <w:rFonts w:cs="Times New Roman" w:hint="default"/>
      </w:rPr>
    </w:lvl>
  </w:abstractNum>
  <w:abstractNum w:abstractNumId="8">
    <w:nsid w:val="39E96FC0"/>
    <w:multiLevelType w:val="multilevel"/>
    <w:tmpl w:val="3364E61C"/>
    <w:lvl w:ilvl="0">
      <w:start w:val="1"/>
      <w:numFmt w:val="bullet"/>
      <w:pStyle w:val="ListBullet"/>
      <w:lvlText w:val=""/>
      <w:lvlJc w:val="left"/>
      <w:pPr>
        <w:ind w:left="850" w:hanging="425"/>
      </w:pPr>
      <w:rPr>
        <w:rFonts w:ascii="Symbol" w:hAnsi="Symbol" w:hint="default"/>
      </w:rPr>
    </w:lvl>
    <w:lvl w:ilvl="1">
      <w:start w:val="1"/>
      <w:numFmt w:val="bullet"/>
      <w:lvlText w:val=""/>
      <w:lvlJc w:val="left"/>
      <w:pPr>
        <w:tabs>
          <w:tab w:val="num" w:pos="851"/>
        </w:tabs>
        <w:ind w:left="993" w:hanging="284"/>
      </w:pPr>
      <w:rPr>
        <w:rFonts w:ascii="Symbol" w:hAnsi="Symbol" w:hint="default"/>
      </w:rPr>
    </w:lvl>
    <w:lvl w:ilvl="2">
      <w:start w:val="1"/>
      <w:numFmt w:val="bullet"/>
      <w:lvlText w:val=""/>
      <w:lvlJc w:val="left"/>
      <w:pPr>
        <w:tabs>
          <w:tab w:val="num" w:pos="993"/>
        </w:tabs>
        <w:ind w:left="1277" w:hanging="284"/>
      </w:pPr>
      <w:rPr>
        <w:rFonts w:ascii="Symbol" w:hAnsi="Symbol" w:hint="default"/>
      </w:rPr>
    </w:lvl>
    <w:lvl w:ilvl="3">
      <w:start w:val="1"/>
      <w:numFmt w:val="bullet"/>
      <w:lvlText w:val=""/>
      <w:lvlJc w:val="left"/>
      <w:pPr>
        <w:tabs>
          <w:tab w:val="num" w:pos="1135"/>
        </w:tabs>
        <w:ind w:left="1561" w:hanging="284"/>
      </w:pPr>
      <w:rPr>
        <w:rFonts w:ascii="Symbol" w:hAnsi="Symbol" w:hint="default"/>
      </w:rPr>
    </w:lvl>
    <w:lvl w:ilvl="4">
      <w:start w:val="1"/>
      <w:numFmt w:val="bullet"/>
      <w:lvlText w:val=""/>
      <w:lvlJc w:val="left"/>
      <w:pPr>
        <w:tabs>
          <w:tab w:val="num" w:pos="1277"/>
        </w:tabs>
        <w:ind w:left="1845" w:hanging="284"/>
      </w:pPr>
      <w:rPr>
        <w:rFonts w:ascii="Symbol" w:hAnsi="Symbol" w:hint="default"/>
      </w:rPr>
    </w:lvl>
    <w:lvl w:ilvl="5">
      <w:start w:val="1"/>
      <w:numFmt w:val="bullet"/>
      <w:lvlText w:val=""/>
      <w:lvlJc w:val="left"/>
      <w:pPr>
        <w:tabs>
          <w:tab w:val="num" w:pos="1419"/>
        </w:tabs>
        <w:ind w:left="2129" w:hanging="284"/>
      </w:pPr>
      <w:rPr>
        <w:rFonts w:ascii="Symbol" w:hAnsi="Symbol" w:hint="default"/>
      </w:rPr>
    </w:lvl>
    <w:lvl w:ilvl="6">
      <w:start w:val="1"/>
      <w:numFmt w:val="bullet"/>
      <w:lvlText w:val=""/>
      <w:lvlJc w:val="left"/>
      <w:pPr>
        <w:tabs>
          <w:tab w:val="num" w:pos="1561"/>
        </w:tabs>
        <w:ind w:left="2413" w:hanging="284"/>
      </w:pPr>
      <w:rPr>
        <w:rFonts w:ascii="Symbol" w:hAnsi="Symbol" w:hint="default"/>
      </w:rPr>
    </w:lvl>
    <w:lvl w:ilvl="7">
      <w:start w:val="1"/>
      <w:numFmt w:val="bullet"/>
      <w:lvlText w:val=""/>
      <w:lvlJc w:val="left"/>
      <w:pPr>
        <w:tabs>
          <w:tab w:val="num" w:pos="1703"/>
        </w:tabs>
        <w:ind w:left="2697" w:hanging="284"/>
      </w:pPr>
      <w:rPr>
        <w:rFonts w:ascii="Symbol" w:hAnsi="Symbol" w:hint="default"/>
      </w:rPr>
    </w:lvl>
    <w:lvl w:ilvl="8">
      <w:start w:val="1"/>
      <w:numFmt w:val="bullet"/>
      <w:lvlText w:val=""/>
      <w:lvlJc w:val="left"/>
      <w:pPr>
        <w:tabs>
          <w:tab w:val="num" w:pos="1845"/>
        </w:tabs>
        <w:ind w:left="2981" w:hanging="284"/>
      </w:pPr>
      <w:rPr>
        <w:rFonts w:ascii="Symbol" w:hAnsi="Symbol" w:hint="default"/>
      </w:rPr>
    </w:lvl>
  </w:abstractNum>
  <w:abstractNum w:abstractNumId="9">
    <w:nsid w:val="545D49B7"/>
    <w:multiLevelType w:val="hybridMultilevel"/>
    <w:tmpl w:val="F9D4F18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3126BC5"/>
    <w:multiLevelType w:val="multilevel"/>
    <w:tmpl w:val="8EEA2EAA"/>
    <w:styleLink w:val="Style1"/>
    <w:lvl w:ilvl="0">
      <w:start w:val="1"/>
      <w:numFmt w:val="bullet"/>
      <w:lvlText w:val=""/>
      <w:lvlJc w:val="left"/>
      <w:pPr>
        <w:ind w:left="567" w:hanging="20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5177F30"/>
    <w:multiLevelType w:val="hybridMultilevel"/>
    <w:tmpl w:val="CDE6B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B13D96"/>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upp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
  </w:num>
  <w:num w:numId="2">
    <w:abstractNumId w:val="2"/>
  </w:num>
  <w:num w:numId="3">
    <w:abstractNumId w:val="1"/>
  </w:num>
  <w:num w:numId="4">
    <w:abstractNumId w:val="0"/>
  </w:num>
  <w:num w:numId="5">
    <w:abstractNumId w:val="4"/>
  </w:num>
  <w:num w:numId="6">
    <w:abstractNumId w:val="12"/>
  </w:num>
  <w:num w:numId="7">
    <w:abstractNumId w:val="8"/>
  </w:num>
  <w:num w:numId="8">
    <w:abstractNumId w:val="5"/>
  </w:num>
  <w:num w:numId="9">
    <w:abstractNumId w:val="10"/>
  </w:num>
  <w:num w:numId="10">
    <w:abstractNumId w:val="7"/>
  </w:num>
  <w:num w:numId="11">
    <w:abstractNumId w:val="6"/>
  </w:num>
  <w:num w:numId="12">
    <w:abstractNumId w:val="1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54"/>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FB"/>
    <w:rsid w:val="0000319A"/>
    <w:rsid w:val="000064F6"/>
    <w:rsid w:val="00021B27"/>
    <w:rsid w:val="00035594"/>
    <w:rsid w:val="00047169"/>
    <w:rsid w:val="00047937"/>
    <w:rsid w:val="000516AE"/>
    <w:rsid w:val="00053526"/>
    <w:rsid w:val="000623D4"/>
    <w:rsid w:val="000A3182"/>
    <w:rsid w:val="000A5CA6"/>
    <w:rsid w:val="000C1410"/>
    <w:rsid w:val="000E0900"/>
    <w:rsid w:val="000F1D99"/>
    <w:rsid w:val="000F40B2"/>
    <w:rsid w:val="000F4487"/>
    <w:rsid w:val="00100373"/>
    <w:rsid w:val="00100C95"/>
    <w:rsid w:val="00100EDC"/>
    <w:rsid w:val="0010469E"/>
    <w:rsid w:val="0010574E"/>
    <w:rsid w:val="00107299"/>
    <w:rsid w:val="001415DB"/>
    <w:rsid w:val="00143213"/>
    <w:rsid w:val="00165E58"/>
    <w:rsid w:val="001674AE"/>
    <w:rsid w:val="001729C9"/>
    <w:rsid w:val="00173789"/>
    <w:rsid w:val="00173D51"/>
    <w:rsid w:val="00183FFF"/>
    <w:rsid w:val="00190E0F"/>
    <w:rsid w:val="00191E9A"/>
    <w:rsid w:val="001A5FD2"/>
    <w:rsid w:val="001E1DC0"/>
    <w:rsid w:val="001F0739"/>
    <w:rsid w:val="0020134E"/>
    <w:rsid w:val="0021492A"/>
    <w:rsid w:val="00227FBE"/>
    <w:rsid w:val="0023388F"/>
    <w:rsid w:val="00245DE7"/>
    <w:rsid w:val="00254F1E"/>
    <w:rsid w:val="002555BF"/>
    <w:rsid w:val="002713FC"/>
    <w:rsid w:val="00276D90"/>
    <w:rsid w:val="002775CB"/>
    <w:rsid w:val="002809E5"/>
    <w:rsid w:val="002835E9"/>
    <w:rsid w:val="0028789C"/>
    <w:rsid w:val="002A7169"/>
    <w:rsid w:val="002B42B2"/>
    <w:rsid w:val="002B5AC0"/>
    <w:rsid w:val="002D6615"/>
    <w:rsid w:val="002E5BCA"/>
    <w:rsid w:val="002F4686"/>
    <w:rsid w:val="003044FD"/>
    <w:rsid w:val="003045C5"/>
    <w:rsid w:val="003118F1"/>
    <w:rsid w:val="0031406E"/>
    <w:rsid w:val="00315088"/>
    <w:rsid w:val="00322FBE"/>
    <w:rsid w:val="00327068"/>
    <w:rsid w:val="00333010"/>
    <w:rsid w:val="0034426E"/>
    <w:rsid w:val="00344703"/>
    <w:rsid w:val="00367053"/>
    <w:rsid w:val="00375BBF"/>
    <w:rsid w:val="00377839"/>
    <w:rsid w:val="00380A81"/>
    <w:rsid w:val="0039436C"/>
    <w:rsid w:val="003949AA"/>
    <w:rsid w:val="003976E1"/>
    <w:rsid w:val="003A006B"/>
    <w:rsid w:val="003A0A48"/>
    <w:rsid w:val="003A0D99"/>
    <w:rsid w:val="003B01DC"/>
    <w:rsid w:val="003B3307"/>
    <w:rsid w:val="003B3B97"/>
    <w:rsid w:val="003E3725"/>
    <w:rsid w:val="003F43F4"/>
    <w:rsid w:val="004015BD"/>
    <w:rsid w:val="004036FB"/>
    <w:rsid w:val="0040452E"/>
    <w:rsid w:val="004106BC"/>
    <w:rsid w:val="004126B5"/>
    <w:rsid w:val="004132FA"/>
    <w:rsid w:val="0041571F"/>
    <w:rsid w:val="00421ECA"/>
    <w:rsid w:val="00431C43"/>
    <w:rsid w:val="00450665"/>
    <w:rsid w:val="00452AB7"/>
    <w:rsid w:val="00455C27"/>
    <w:rsid w:val="004572A2"/>
    <w:rsid w:val="00497165"/>
    <w:rsid w:val="004A6C77"/>
    <w:rsid w:val="004C33C3"/>
    <w:rsid w:val="004D12B4"/>
    <w:rsid w:val="004D1A78"/>
    <w:rsid w:val="004D271F"/>
    <w:rsid w:val="004D76FE"/>
    <w:rsid w:val="004F5483"/>
    <w:rsid w:val="004F56E2"/>
    <w:rsid w:val="004F62CE"/>
    <w:rsid w:val="00500FC7"/>
    <w:rsid w:val="0050694E"/>
    <w:rsid w:val="005166F5"/>
    <w:rsid w:val="00524563"/>
    <w:rsid w:val="0053417D"/>
    <w:rsid w:val="005368AA"/>
    <w:rsid w:val="0054479E"/>
    <w:rsid w:val="00555FF4"/>
    <w:rsid w:val="00556D59"/>
    <w:rsid w:val="00572B41"/>
    <w:rsid w:val="0057544A"/>
    <w:rsid w:val="00582E31"/>
    <w:rsid w:val="00587AE6"/>
    <w:rsid w:val="005B4654"/>
    <w:rsid w:val="005C152F"/>
    <w:rsid w:val="005C4B15"/>
    <w:rsid w:val="005C5621"/>
    <w:rsid w:val="005C66B1"/>
    <w:rsid w:val="005F156D"/>
    <w:rsid w:val="005F1AEA"/>
    <w:rsid w:val="005F1AF0"/>
    <w:rsid w:val="005F3B4C"/>
    <w:rsid w:val="005F76AE"/>
    <w:rsid w:val="005F76F4"/>
    <w:rsid w:val="006049BA"/>
    <w:rsid w:val="00604F17"/>
    <w:rsid w:val="00606536"/>
    <w:rsid w:val="0061609B"/>
    <w:rsid w:val="0062078E"/>
    <w:rsid w:val="00621413"/>
    <w:rsid w:val="00633127"/>
    <w:rsid w:val="006465AD"/>
    <w:rsid w:val="0066273A"/>
    <w:rsid w:val="006740FD"/>
    <w:rsid w:val="00675129"/>
    <w:rsid w:val="00680562"/>
    <w:rsid w:val="00680B4C"/>
    <w:rsid w:val="00694D49"/>
    <w:rsid w:val="006C0F89"/>
    <w:rsid w:val="006D05CA"/>
    <w:rsid w:val="006E22BE"/>
    <w:rsid w:val="006F5507"/>
    <w:rsid w:val="006F5770"/>
    <w:rsid w:val="006F6656"/>
    <w:rsid w:val="00701733"/>
    <w:rsid w:val="00713EC7"/>
    <w:rsid w:val="007145DA"/>
    <w:rsid w:val="007304EC"/>
    <w:rsid w:val="0073360B"/>
    <w:rsid w:val="0073390E"/>
    <w:rsid w:val="00733D59"/>
    <w:rsid w:val="00740F86"/>
    <w:rsid w:val="00745C1D"/>
    <w:rsid w:val="007619D0"/>
    <w:rsid w:val="00764232"/>
    <w:rsid w:val="007650F1"/>
    <w:rsid w:val="00774DF5"/>
    <w:rsid w:val="00785ED0"/>
    <w:rsid w:val="007904D8"/>
    <w:rsid w:val="007A7F5A"/>
    <w:rsid w:val="007E7274"/>
    <w:rsid w:val="007E7B45"/>
    <w:rsid w:val="00800CA0"/>
    <w:rsid w:val="00801815"/>
    <w:rsid w:val="00802405"/>
    <w:rsid w:val="008041D1"/>
    <w:rsid w:val="00807C35"/>
    <w:rsid w:val="0081503D"/>
    <w:rsid w:val="00825B6A"/>
    <w:rsid w:val="00831BA0"/>
    <w:rsid w:val="00832616"/>
    <w:rsid w:val="00837E50"/>
    <w:rsid w:val="00886A6A"/>
    <w:rsid w:val="008A57B6"/>
    <w:rsid w:val="008B58CD"/>
    <w:rsid w:val="008C0358"/>
    <w:rsid w:val="008D4052"/>
    <w:rsid w:val="008F3910"/>
    <w:rsid w:val="00904E88"/>
    <w:rsid w:val="0093730F"/>
    <w:rsid w:val="009415A7"/>
    <w:rsid w:val="00942785"/>
    <w:rsid w:val="009478A5"/>
    <w:rsid w:val="00964AD3"/>
    <w:rsid w:val="00981649"/>
    <w:rsid w:val="00987A92"/>
    <w:rsid w:val="009978E9"/>
    <w:rsid w:val="009A13B4"/>
    <w:rsid w:val="009B05FF"/>
    <w:rsid w:val="009D15E7"/>
    <w:rsid w:val="009D37BC"/>
    <w:rsid w:val="009E2729"/>
    <w:rsid w:val="009E7690"/>
    <w:rsid w:val="00A11C8C"/>
    <w:rsid w:val="00A14790"/>
    <w:rsid w:val="00A166CC"/>
    <w:rsid w:val="00A22FCD"/>
    <w:rsid w:val="00A2332C"/>
    <w:rsid w:val="00A2517A"/>
    <w:rsid w:val="00A25E62"/>
    <w:rsid w:val="00A31041"/>
    <w:rsid w:val="00A36146"/>
    <w:rsid w:val="00A36B58"/>
    <w:rsid w:val="00A37CE8"/>
    <w:rsid w:val="00A406CF"/>
    <w:rsid w:val="00A42AD4"/>
    <w:rsid w:val="00A60021"/>
    <w:rsid w:val="00A615E9"/>
    <w:rsid w:val="00A700B1"/>
    <w:rsid w:val="00A96C5F"/>
    <w:rsid w:val="00AA0875"/>
    <w:rsid w:val="00AA6D9E"/>
    <w:rsid w:val="00AA6E9D"/>
    <w:rsid w:val="00AB0017"/>
    <w:rsid w:val="00AB1B8A"/>
    <w:rsid w:val="00AB3C0B"/>
    <w:rsid w:val="00AC1294"/>
    <w:rsid w:val="00AC482E"/>
    <w:rsid w:val="00AD0DD4"/>
    <w:rsid w:val="00AD7FC0"/>
    <w:rsid w:val="00AE1C27"/>
    <w:rsid w:val="00AE5440"/>
    <w:rsid w:val="00AF02B2"/>
    <w:rsid w:val="00AF4009"/>
    <w:rsid w:val="00AF5660"/>
    <w:rsid w:val="00AF7FFD"/>
    <w:rsid w:val="00B14363"/>
    <w:rsid w:val="00B15C9D"/>
    <w:rsid w:val="00B2394C"/>
    <w:rsid w:val="00B34C82"/>
    <w:rsid w:val="00B4303B"/>
    <w:rsid w:val="00B5000E"/>
    <w:rsid w:val="00B503C4"/>
    <w:rsid w:val="00B534D6"/>
    <w:rsid w:val="00B54B7A"/>
    <w:rsid w:val="00B57CAE"/>
    <w:rsid w:val="00B67513"/>
    <w:rsid w:val="00B75E84"/>
    <w:rsid w:val="00B822D3"/>
    <w:rsid w:val="00B84C86"/>
    <w:rsid w:val="00B928DA"/>
    <w:rsid w:val="00B977D0"/>
    <w:rsid w:val="00BA1593"/>
    <w:rsid w:val="00BB4DE6"/>
    <w:rsid w:val="00BB78F8"/>
    <w:rsid w:val="00BC17C2"/>
    <w:rsid w:val="00BD5520"/>
    <w:rsid w:val="00BD5AF9"/>
    <w:rsid w:val="00BE0822"/>
    <w:rsid w:val="00BE0C58"/>
    <w:rsid w:val="00BE4E2C"/>
    <w:rsid w:val="00BE72DE"/>
    <w:rsid w:val="00BF4E1F"/>
    <w:rsid w:val="00C14F62"/>
    <w:rsid w:val="00C40CCE"/>
    <w:rsid w:val="00C633CE"/>
    <w:rsid w:val="00C655AD"/>
    <w:rsid w:val="00C67B94"/>
    <w:rsid w:val="00C73FA1"/>
    <w:rsid w:val="00C93BC2"/>
    <w:rsid w:val="00CC63BC"/>
    <w:rsid w:val="00CD29D4"/>
    <w:rsid w:val="00CD2A55"/>
    <w:rsid w:val="00CD5464"/>
    <w:rsid w:val="00CD6386"/>
    <w:rsid w:val="00CE0006"/>
    <w:rsid w:val="00CE04C9"/>
    <w:rsid w:val="00CE1147"/>
    <w:rsid w:val="00CE24ED"/>
    <w:rsid w:val="00CE2BE3"/>
    <w:rsid w:val="00CE451F"/>
    <w:rsid w:val="00CF2A8F"/>
    <w:rsid w:val="00CF5AA4"/>
    <w:rsid w:val="00CF6785"/>
    <w:rsid w:val="00D12700"/>
    <w:rsid w:val="00D128B3"/>
    <w:rsid w:val="00D14BAC"/>
    <w:rsid w:val="00D21819"/>
    <w:rsid w:val="00D26F02"/>
    <w:rsid w:val="00D32B1E"/>
    <w:rsid w:val="00D33C58"/>
    <w:rsid w:val="00D35AE8"/>
    <w:rsid w:val="00D43081"/>
    <w:rsid w:val="00D50079"/>
    <w:rsid w:val="00D637FD"/>
    <w:rsid w:val="00D663DD"/>
    <w:rsid w:val="00D80929"/>
    <w:rsid w:val="00D97DA8"/>
    <w:rsid w:val="00DA0C54"/>
    <w:rsid w:val="00DA5FD9"/>
    <w:rsid w:val="00DC78B4"/>
    <w:rsid w:val="00DC7DF9"/>
    <w:rsid w:val="00DD0BBA"/>
    <w:rsid w:val="00DD5CF6"/>
    <w:rsid w:val="00DD6C36"/>
    <w:rsid w:val="00DE0888"/>
    <w:rsid w:val="00DE096B"/>
    <w:rsid w:val="00DE7AE3"/>
    <w:rsid w:val="00E10EB4"/>
    <w:rsid w:val="00E13C19"/>
    <w:rsid w:val="00E31AB5"/>
    <w:rsid w:val="00E34805"/>
    <w:rsid w:val="00E42B89"/>
    <w:rsid w:val="00E42E59"/>
    <w:rsid w:val="00E51E9F"/>
    <w:rsid w:val="00E52D8E"/>
    <w:rsid w:val="00E5693C"/>
    <w:rsid w:val="00E614B7"/>
    <w:rsid w:val="00E67408"/>
    <w:rsid w:val="00E76AB3"/>
    <w:rsid w:val="00E91ECD"/>
    <w:rsid w:val="00E9419A"/>
    <w:rsid w:val="00E9682F"/>
    <w:rsid w:val="00EA471C"/>
    <w:rsid w:val="00EA6887"/>
    <w:rsid w:val="00EA6978"/>
    <w:rsid w:val="00ED234E"/>
    <w:rsid w:val="00EE070F"/>
    <w:rsid w:val="00EE0F1E"/>
    <w:rsid w:val="00EE0F9C"/>
    <w:rsid w:val="00EE671D"/>
    <w:rsid w:val="00EE6AFF"/>
    <w:rsid w:val="00EF666B"/>
    <w:rsid w:val="00EF7709"/>
    <w:rsid w:val="00F007BA"/>
    <w:rsid w:val="00F01B2B"/>
    <w:rsid w:val="00F02197"/>
    <w:rsid w:val="00F15B27"/>
    <w:rsid w:val="00F16F26"/>
    <w:rsid w:val="00F27257"/>
    <w:rsid w:val="00F34C8C"/>
    <w:rsid w:val="00F55B59"/>
    <w:rsid w:val="00F60363"/>
    <w:rsid w:val="00F66888"/>
    <w:rsid w:val="00F70968"/>
    <w:rsid w:val="00F8632B"/>
    <w:rsid w:val="00FA7D64"/>
    <w:rsid w:val="00FB3929"/>
    <w:rsid w:val="00FB64CD"/>
    <w:rsid w:val="00FC23FE"/>
    <w:rsid w:val="00FE6E3A"/>
    <w:rsid w:val="00FF02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sz w:val="22"/>
        <w:szCs w:val="22"/>
        <w:lang w:val="en-AU" w:eastAsia="en-AU"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uiPriority="0"/>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E3725"/>
    <w:pPr>
      <w:spacing w:before="220" w:after="220" w:line="276" w:lineRule="auto"/>
    </w:pPr>
    <w:rPr>
      <w:rFonts w:ascii="Cambria" w:eastAsia="Times New Roman" w:hAnsi="Cambria" w:cs="Times New Roman"/>
      <w:sz w:val="19"/>
      <w:szCs w:val="24"/>
    </w:rPr>
  </w:style>
  <w:style w:type="paragraph" w:styleId="Heading1">
    <w:name w:val="heading 1"/>
    <w:basedOn w:val="Normal"/>
    <w:next w:val="Normal"/>
    <w:link w:val="Heading1Char"/>
    <w:uiPriority w:val="99"/>
    <w:qFormat/>
    <w:rsid w:val="0021492A"/>
    <w:pPr>
      <w:keepNext/>
      <w:keepLines/>
      <w:spacing w:before="300" w:after="300"/>
      <w:outlineLvl w:val="0"/>
    </w:pPr>
    <w:rPr>
      <w:rFonts w:ascii="Calibri" w:eastAsia="Calibri" w:hAnsi="Calibri" w:cs="Calibri"/>
      <w:b/>
      <w:bCs/>
      <w:color w:val="1E8FBB"/>
      <w:sz w:val="40"/>
      <w:szCs w:val="28"/>
    </w:rPr>
  </w:style>
  <w:style w:type="paragraph" w:styleId="Heading2">
    <w:name w:val="heading 2"/>
    <w:basedOn w:val="Heading1"/>
    <w:next w:val="Normal"/>
    <w:link w:val="Heading2Char"/>
    <w:uiPriority w:val="99"/>
    <w:qFormat/>
    <w:rsid w:val="0021492A"/>
    <w:pPr>
      <w:spacing w:line="240" w:lineRule="auto"/>
      <w:outlineLvl w:val="1"/>
    </w:pPr>
    <w:rPr>
      <w:sz w:val="32"/>
      <w:szCs w:val="32"/>
    </w:rPr>
  </w:style>
  <w:style w:type="paragraph" w:styleId="Heading3">
    <w:name w:val="heading 3"/>
    <w:basedOn w:val="Heading1"/>
    <w:next w:val="Normal"/>
    <w:link w:val="Heading3Char"/>
    <w:uiPriority w:val="99"/>
    <w:qFormat/>
    <w:rsid w:val="0021492A"/>
    <w:pPr>
      <w:outlineLvl w:val="2"/>
    </w:pPr>
    <w:rPr>
      <w:b w:val="0"/>
      <w:caps/>
      <w:color w:val="auto"/>
      <w:sz w:val="32"/>
      <w:szCs w:val="32"/>
    </w:rPr>
  </w:style>
  <w:style w:type="paragraph" w:styleId="Heading4">
    <w:name w:val="heading 4"/>
    <w:basedOn w:val="Heading3"/>
    <w:next w:val="Normal"/>
    <w:link w:val="Heading4Char"/>
    <w:uiPriority w:val="99"/>
    <w:qFormat/>
    <w:rsid w:val="0021492A"/>
    <w:pPr>
      <w:outlineLvl w:val="3"/>
    </w:pPr>
    <w:rPr>
      <w:b/>
      <w:caps w:val="0"/>
    </w:rPr>
  </w:style>
  <w:style w:type="paragraph" w:styleId="Heading5">
    <w:name w:val="heading 5"/>
    <w:basedOn w:val="Normal"/>
    <w:next w:val="Normal"/>
    <w:link w:val="Heading5Char"/>
    <w:uiPriority w:val="99"/>
    <w:qFormat/>
    <w:rsid w:val="0021492A"/>
    <w:pPr>
      <w:keepNext/>
      <w:keepLines/>
      <w:spacing w:before="200" w:after="200"/>
      <w:outlineLvl w:val="4"/>
    </w:pPr>
    <w:rPr>
      <w:rFonts w:ascii="Calibri" w:eastAsia="Calibri" w:hAnsi="Calibri" w:cs="Calibri"/>
      <w:i/>
      <w:sz w:val="24"/>
      <w:lang w:eastAsia="en-US"/>
    </w:rPr>
  </w:style>
  <w:style w:type="paragraph" w:styleId="Heading6">
    <w:name w:val="heading 6"/>
    <w:basedOn w:val="Normal"/>
    <w:next w:val="Normal"/>
    <w:link w:val="Heading6Char"/>
    <w:uiPriority w:val="99"/>
    <w:qFormat/>
    <w:rsid w:val="0021492A"/>
    <w:pPr>
      <w:keepNext/>
      <w:keepLines/>
      <w:spacing w:before="200" w:after="0"/>
      <w:outlineLvl w:val="5"/>
    </w:pPr>
    <w:rPr>
      <w:rFonts w:ascii="Calibri" w:eastAsia="Calibri" w:hAnsi="Calibri" w:cs="Calibri"/>
      <w:i/>
      <w:iCs/>
      <w:color w:val="000000"/>
      <w:sz w:val="21"/>
    </w:rPr>
  </w:style>
  <w:style w:type="paragraph" w:styleId="Heading7">
    <w:name w:val="heading 7"/>
    <w:basedOn w:val="Heading6"/>
    <w:next w:val="Normal"/>
    <w:link w:val="Heading7Char"/>
    <w:uiPriority w:val="99"/>
    <w:qFormat/>
    <w:rsid w:val="006049BA"/>
    <w:pPr>
      <w:outlineLvl w:val="6"/>
    </w:pPr>
  </w:style>
  <w:style w:type="paragraph" w:styleId="Heading8">
    <w:name w:val="heading 8"/>
    <w:basedOn w:val="Normal"/>
    <w:next w:val="Normal"/>
    <w:link w:val="Heading8Char"/>
    <w:uiPriority w:val="99"/>
    <w:qFormat/>
    <w:rsid w:val="006049BA"/>
    <w:pPr>
      <w:keepNext/>
      <w:keepLines/>
      <w:spacing w:before="200" w:after="0"/>
      <w:outlineLvl w:val="7"/>
    </w:pPr>
    <w:rPr>
      <w:rFonts w:ascii="Calibri" w:eastAsia="Calibri" w:hAnsi="Calibri" w:cs="Calibri"/>
      <w:b/>
      <w:color w:val="000000"/>
      <w:sz w:val="21"/>
      <w:szCs w:val="20"/>
    </w:rPr>
  </w:style>
  <w:style w:type="paragraph" w:styleId="Heading9">
    <w:name w:val="heading 9"/>
    <w:basedOn w:val="Heading8"/>
    <w:next w:val="Normal"/>
    <w:link w:val="Heading9Char"/>
    <w:uiPriority w:val="99"/>
    <w:qFormat/>
    <w:rsid w:val="006049B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492A"/>
    <w:rPr>
      <w:rFonts w:eastAsia="Times New Roman" w:cs="Calibri"/>
      <w:b/>
      <w:bCs/>
      <w:color w:val="1E8FBB"/>
      <w:sz w:val="28"/>
      <w:szCs w:val="28"/>
      <w:lang w:val="en-AU" w:eastAsia="en-AU" w:bidi="ar-SA"/>
    </w:rPr>
  </w:style>
  <w:style w:type="character" w:customStyle="1" w:styleId="Heading2Char">
    <w:name w:val="Heading 2 Char"/>
    <w:basedOn w:val="DefaultParagraphFont"/>
    <w:link w:val="Heading2"/>
    <w:uiPriority w:val="99"/>
    <w:locked/>
    <w:rsid w:val="0021492A"/>
    <w:rPr>
      <w:rFonts w:eastAsia="Times New Roman" w:cs="Calibri"/>
      <w:b/>
      <w:bCs/>
      <w:color w:val="1E8FBB"/>
      <w:sz w:val="32"/>
      <w:szCs w:val="32"/>
      <w:lang w:eastAsia="en-AU"/>
    </w:rPr>
  </w:style>
  <w:style w:type="character" w:customStyle="1" w:styleId="Heading3Char">
    <w:name w:val="Heading 3 Char"/>
    <w:basedOn w:val="DefaultParagraphFont"/>
    <w:link w:val="Heading3"/>
    <w:uiPriority w:val="99"/>
    <w:locked/>
    <w:rsid w:val="0021492A"/>
    <w:rPr>
      <w:rFonts w:ascii="Calibri" w:eastAsia="Times New Roman" w:hAnsi="Calibri" w:cs="Calibri"/>
      <w:bCs/>
      <w:caps/>
      <w:sz w:val="32"/>
      <w:szCs w:val="32"/>
      <w:lang w:eastAsia="en-AU"/>
    </w:rPr>
  </w:style>
  <w:style w:type="character" w:customStyle="1" w:styleId="Heading4Char">
    <w:name w:val="Heading 4 Char"/>
    <w:basedOn w:val="DefaultParagraphFont"/>
    <w:link w:val="Heading4"/>
    <w:uiPriority w:val="99"/>
    <w:locked/>
    <w:rsid w:val="0021492A"/>
    <w:rPr>
      <w:rFonts w:ascii="Calibri" w:eastAsia="Times New Roman" w:hAnsi="Calibri" w:cs="Calibri"/>
      <w:b/>
      <w:bCs/>
      <w:sz w:val="32"/>
      <w:szCs w:val="32"/>
      <w:lang w:eastAsia="en-AU"/>
    </w:rPr>
  </w:style>
  <w:style w:type="character" w:customStyle="1" w:styleId="Heading5Char">
    <w:name w:val="Heading 5 Char"/>
    <w:basedOn w:val="DefaultParagraphFont"/>
    <w:link w:val="Heading5"/>
    <w:uiPriority w:val="99"/>
    <w:locked/>
    <w:rsid w:val="0021492A"/>
    <w:rPr>
      <w:rFonts w:cs="Calibri"/>
      <w:i/>
      <w:sz w:val="24"/>
      <w:szCs w:val="24"/>
      <w:lang w:val="en-AU" w:eastAsia="en-US" w:bidi="ar-SA"/>
    </w:rPr>
  </w:style>
  <w:style w:type="character" w:customStyle="1" w:styleId="Heading6Char">
    <w:name w:val="Heading 6 Char"/>
    <w:basedOn w:val="DefaultParagraphFont"/>
    <w:link w:val="Heading6"/>
    <w:uiPriority w:val="99"/>
    <w:locked/>
    <w:rsid w:val="0021492A"/>
    <w:rPr>
      <w:rFonts w:eastAsia="Times New Roman" w:cs="Calibri"/>
      <w:i/>
      <w:iCs/>
      <w:color w:val="000000"/>
      <w:sz w:val="24"/>
      <w:szCs w:val="24"/>
      <w:lang w:val="en-AU" w:eastAsia="en-AU" w:bidi="ar-SA"/>
    </w:rPr>
  </w:style>
  <w:style w:type="character" w:customStyle="1" w:styleId="Heading7Char">
    <w:name w:val="Heading 7 Char"/>
    <w:basedOn w:val="DefaultParagraphFont"/>
    <w:link w:val="Heading7"/>
    <w:uiPriority w:val="99"/>
    <w:locked/>
    <w:rsid w:val="006049BA"/>
    <w:rPr>
      <w:rFonts w:eastAsia="Times New Roman" w:cs="Calibri"/>
      <w:i/>
      <w:iCs/>
      <w:color w:val="000000"/>
      <w:sz w:val="24"/>
      <w:szCs w:val="24"/>
      <w:lang w:eastAsia="en-AU"/>
    </w:rPr>
  </w:style>
  <w:style w:type="character" w:customStyle="1" w:styleId="Heading8Char">
    <w:name w:val="Heading 8 Char"/>
    <w:basedOn w:val="DefaultParagraphFont"/>
    <w:link w:val="Heading8"/>
    <w:uiPriority w:val="99"/>
    <w:locked/>
    <w:rsid w:val="006049BA"/>
    <w:rPr>
      <w:rFonts w:eastAsia="Times New Roman" w:cs="Calibri"/>
      <w:b/>
      <w:color w:val="000000"/>
      <w:sz w:val="21"/>
      <w:lang w:val="en-AU" w:eastAsia="en-AU" w:bidi="ar-SA"/>
    </w:rPr>
  </w:style>
  <w:style w:type="character" w:customStyle="1" w:styleId="Heading9Char">
    <w:name w:val="Heading 9 Char"/>
    <w:basedOn w:val="DefaultParagraphFont"/>
    <w:link w:val="Heading9"/>
    <w:uiPriority w:val="99"/>
    <w:locked/>
    <w:rsid w:val="006049BA"/>
    <w:rPr>
      <w:rFonts w:eastAsia="Times New Roman" w:cs="Calibri"/>
      <w:b/>
      <w:color w:val="000000"/>
      <w:sz w:val="20"/>
      <w:szCs w:val="20"/>
      <w:lang w:eastAsia="en-AU"/>
    </w:rPr>
  </w:style>
  <w:style w:type="paragraph" w:styleId="Title">
    <w:name w:val="Title"/>
    <w:basedOn w:val="Normal"/>
    <w:next w:val="Normal"/>
    <w:link w:val="TitleChar"/>
    <w:uiPriority w:val="99"/>
    <w:qFormat/>
    <w:rsid w:val="0021492A"/>
    <w:pPr>
      <w:pBdr>
        <w:bottom w:val="single" w:sz="2" w:space="0" w:color="000000"/>
      </w:pBdr>
      <w:tabs>
        <w:tab w:val="right" w:pos="8220"/>
      </w:tabs>
      <w:spacing w:before="240" w:after="60" w:line="240" w:lineRule="auto"/>
      <w:contextualSpacing/>
    </w:pPr>
    <w:rPr>
      <w:rFonts w:ascii="Calibri" w:eastAsia="Calibri" w:hAnsi="Calibri" w:cs="Calibri"/>
      <w:b/>
      <w:caps/>
      <w:kern w:val="32"/>
      <w:sz w:val="40"/>
      <w:szCs w:val="40"/>
    </w:rPr>
  </w:style>
  <w:style w:type="character" w:customStyle="1" w:styleId="TitleChar">
    <w:name w:val="Title Char"/>
    <w:basedOn w:val="DefaultParagraphFont"/>
    <w:link w:val="Title"/>
    <w:uiPriority w:val="99"/>
    <w:locked/>
    <w:rsid w:val="0021492A"/>
    <w:rPr>
      <w:rFonts w:eastAsia="Times New Roman" w:cs="Calibri"/>
      <w:b/>
      <w:caps/>
      <w:kern w:val="32"/>
      <w:sz w:val="40"/>
      <w:szCs w:val="40"/>
      <w:lang w:eastAsia="en-AU"/>
    </w:rPr>
  </w:style>
  <w:style w:type="paragraph" w:customStyle="1" w:styleId="BulletSpacing">
    <w:name w:val="Bullet Spacing"/>
    <w:basedOn w:val="ListParagraph"/>
    <w:uiPriority w:val="99"/>
    <w:rsid w:val="001674AE"/>
  </w:style>
  <w:style w:type="paragraph" w:customStyle="1" w:styleId="NumberedSpacing">
    <w:name w:val="Numbered Spacing"/>
    <w:basedOn w:val="Normal"/>
    <w:uiPriority w:val="99"/>
    <w:rsid w:val="001674AE"/>
    <w:pPr>
      <w:numPr>
        <w:numId w:val="10"/>
      </w:numPr>
      <w:tabs>
        <w:tab w:val="left" w:pos="567"/>
      </w:tabs>
      <w:spacing w:before="0" w:after="120" w:line="288" w:lineRule="auto"/>
    </w:pPr>
    <w:rPr>
      <w:szCs w:val="21"/>
      <w:lang w:eastAsia="en-US"/>
    </w:rPr>
  </w:style>
  <w:style w:type="character" w:styleId="Hyperlink">
    <w:name w:val="Hyperlink"/>
    <w:basedOn w:val="DefaultParagraphFont"/>
    <w:uiPriority w:val="99"/>
    <w:rsid w:val="00A22FCD"/>
    <w:rPr>
      <w:rFonts w:cs="Times New Roman"/>
      <w:color w:val="auto"/>
      <w:u w:val="single"/>
    </w:rPr>
  </w:style>
  <w:style w:type="paragraph" w:styleId="BalloonText">
    <w:name w:val="Balloon Text"/>
    <w:basedOn w:val="Normal"/>
    <w:link w:val="BalloonTextChar"/>
    <w:uiPriority w:val="99"/>
    <w:semiHidden/>
    <w:rsid w:val="004D76F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4D76FE"/>
    <w:rPr>
      <w:rFonts w:ascii="Tahoma" w:hAnsi="Tahoma" w:cs="Tahoma"/>
      <w:sz w:val="16"/>
      <w:szCs w:val="16"/>
    </w:rPr>
  </w:style>
  <w:style w:type="paragraph" w:styleId="FootnoteText">
    <w:name w:val="footnote text"/>
    <w:basedOn w:val="Normal"/>
    <w:link w:val="FootnoteTextChar"/>
    <w:uiPriority w:val="99"/>
    <w:rsid w:val="00745C1D"/>
    <w:pPr>
      <w:spacing w:before="120" w:after="0"/>
    </w:pPr>
    <w:rPr>
      <w:color w:val="404040"/>
      <w:sz w:val="14"/>
      <w:szCs w:val="14"/>
    </w:rPr>
  </w:style>
  <w:style w:type="character" w:customStyle="1" w:styleId="FootnoteTextChar">
    <w:name w:val="Footnote Text Char"/>
    <w:basedOn w:val="DefaultParagraphFont"/>
    <w:link w:val="FootnoteText"/>
    <w:uiPriority w:val="99"/>
    <w:locked/>
    <w:rsid w:val="00745C1D"/>
    <w:rPr>
      <w:rFonts w:ascii="Cambria" w:eastAsia="Times New Roman" w:hAnsi="Cambria" w:cs="Times New Roman"/>
      <w:color w:val="404040"/>
      <w:sz w:val="14"/>
      <w:szCs w:val="14"/>
    </w:rPr>
  </w:style>
  <w:style w:type="character" w:styleId="FootnoteReference">
    <w:name w:val="footnote reference"/>
    <w:basedOn w:val="DefaultParagraphFont"/>
    <w:uiPriority w:val="99"/>
    <w:semiHidden/>
    <w:rsid w:val="004D76FE"/>
    <w:rPr>
      <w:rFonts w:cs="Times New Roman"/>
      <w:vertAlign w:val="superscript"/>
    </w:rPr>
  </w:style>
  <w:style w:type="paragraph" w:styleId="Footer">
    <w:name w:val="footer"/>
    <w:basedOn w:val="Normal"/>
    <w:link w:val="FooterChar"/>
    <w:uiPriority w:val="99"/>
    <w:rsid w:val="003A006B"/>
    <w:pPr>
      <w:tabs>
        <w:tab w:val="center" w:pos="4153"/>
        <w:tab w:val="right" w:pos="8306"/>
      </w:tabs>
      <w:jc w:val="right"/>
    </w:pPr>
    <w:rPr>
      <w:rFonts w:ascii="Calibri" w:eastAsia="Calibri" w:hAnsi="Calibri" w:cs="Calibri"/>
      <w:sz w:val="16"/>
      <w:szCs w:val="16"/>
    </w:rPr>
  </w:style>
  <w:style w:type="character" w:customStyle="1" w:styleId="FooterChar">
    <w:name w:val="Footer Char"/>
    <w:basedOn w:val="DefaultParagraphFont"/>
    <w:link w:val="Footer"/>
    <w:uiPriority w:val="99"/>
    <w:locked/>
    <w:rsid w:val="003A006B"/>
    <w:rPr>
      <w:rFonts w:eastAsia="Times New Roman" w:cs="Calibri"/>
      <w:sz w:val="16"/>
      <w:szCs w:val="16"/>
      <w:lang w:eastAsia="en-AU"/>
    </w:rPr>
  </w:style>
  <w:style w:type="character" w:styleId="PageNumber">
    <w:name w:val="page number"/>
    <w:basedOn w:val="DefaultParagraphFont"/>
    <w:uiPriority w:val="99"/>
    <w:rsid w:val="003A006B"/>
    <w:rPr>
      <w:rFonts w:cs="Times New Roman"/>
    </w:rPr>
  </w:style>
  <w:style w:type="paragraph" w:styleId="Quote">
    <w:name w:val="Quote"/>
    <w:basedOn w:val="Normal"/>
    <w:next w:val="Normal"/>
    <w:link w:val="QuoteChar"/>
    <w:uiPriority w:val="99"/>
    <w:qFormat/>
    <w:rsid w:val="0028789C"/>
    <w:pPr>
      <w:spacing w:before="180" w:after="180"/>
      <w:ind w:left="426"/>
    </w:pPr>
    <w:rPr>
      <w:i/>
      <w:iCs/>
      <w:color w:val="000000"/>
    </w:rPr>
  </w:style>
  <w:style w:type="character" w:customStyle="1" w:styleId="QuoteChar">
    <w:name w:val="Quote Char"/>
    <w:basedOn w:val="DefaultParagraphFont"/>
    <w:link w:val="Quote"/>
    <w:uiPriority w:val="99"/>
    <w:locked/>
    <w:rsid w:val="0028789C"/>
    <w:rPr>
      <w:rFonts w:ascii="Minion Pro" w:hAnsi="Minion Pro" w:cs="Times New Roman"/>
      <w:i/>
      <w:iCs/>
      <w:color w:val="000000"/>
      <w:sz w:val="24"/>
      <w:szCs w:val="24"/>
      <w:lang w:eastAsia="en-AU"/>
    </w:rPr>
  </w:style>
  <w:style w:type="paragraph" w:styleId="TOCHeading">
    <w:name w:val="TOC Heading"/>
    <w:basedOn w:val="Heading1"/>
    <w:next w:val="Normal"/>
    <w:uiPriority w:val="99"/>
    <w:qFormat/>
    <w:rsid w:val="00A36146"/>
    <w:pPr>
      <w:spacing w:before="480" w:after="0"/>
      <w:outlineLvl w:val="9"/>
    </w:pPr>
    <w:rPr>
      <w:lang w:val="en-US" w:eastAsia="ja-JP"/>
    </w:rPr>
  </w:style>
  <w:style w:type="paragraph" w:styleId="TOC3">
    <w:name w:val="toc 3"/>
    <w:basedOn w:val="TOC2"/>
    <w:next w:val="Normal"/>
    <w:autoRedefine/>
    <w:uiPriority w:val="99"/>
    <w:rsid w:val="00DA0C54"/>
    <w:pPr>
      <w:ind w:left="709"/>
    </w:pPr>
    <w:rPr>
      <w:i/>
    </w:rPr>
  </w:style>
  <w:style w:type="paragraph" w:styleId="TOC1">
    <w:name w:val="toc 1"/>
    <w:basedOn w:val="Normal"/>
    <w:next w:val="Normal"/>
    <w:autoRedefine/>
    <w:uiPriority w:val="99"/>
    <w:rsid w:val="003A006B"/>
    <w:pPr>
      <w:tabs>
        <w:tab w:val="right" w:leader="dot" w:pos="8210"/>
      </w:tabs>
      <w:spacing w:after="100"/>
    </w:pPr>
    <w:rPr>
      <w:rFonts w:ascii="Calibri" w:hAnsi="Calibri" w:cs="Calibri"/>
      <w:sz w:val="28"/>
    </w:rPr>
  </w:style>
  <w:style w:type="paragraph" w:styleId="TOC2">
    <w:name w:val="toc 2"/>
    <w:basedOn w:val="Normal"/>
    <w:next w:val="Normal"/>
    <w:autoRedefine/>
    <w:uiPriority w:val="99"/>
    <w:rsid w:val="0021492A"/>
    <w:pPr>
      <w:tabs>
        <w:tab w:val="right" w:leader="dot" w:pos="8210"/>
      </w:tabs>
      <w:spacing w:after="100"/>
      <w:ind w:left="425"/>
    </w:pPr>
    <w:rPr>
      <w:rFonts w:cs="Calibri"/>
      <w:noProof/>
      <w:sz w:val="24"/>
    </w:rPr>
  </w:style>
  <w:style w:type="paragraph" w:styleId="ListParagraph">
    <w:name w:val="List Paragraph"/>
    <w:basedOn w:val="Normal"/>
    <w:uiPriority w:val="34"/>
    <w:qFormat/>
    <w:rsid w:val="001674AE"/>
    <w:pPr>
      <w:numPr>
        <w:numId w:val="8"/>
      </w:numPr>
      <w:spacing w:after="240"/>
      <w:ind w:left="425" w:hanging="425"/>
    </w:pPr>
    <w:rPr>
      <w:rFonts w:eastAsia="Calibri"/>
      <w:lang w:eastAsia="en-US"/>
    </w:rPr>
  </w:style>
  <w:style w:type="paragraph" w:styleId="ListBullet">
    <w:name w:val="List Bullet"/>
    <w:basedOn w:val="Normal"/>
    <w:uiPriority w:val="99"/>
    <w:rsid w:val="0028789C"/>
    <w:pPr>
      <w:numPr>
        <w:numId w:val="7"/>
      </w:numPr>
      <w:spacing w:after="120"/>
      <w:ind w:left="426" w:hanging="426"/>
      <w:contextualSpacing/>
    </w:pPr>
  </w:style>
  <w:style w:type="paragraph" w:styleId="ListBullet2">
    <w:name w:val="List Bullet 2"/>
    <w:basedOn w:val="Normal"/>
    <w:uiPriority w:val="99"/>
    <w:rsid w:val="0028789C"/>
    <w:pPr>
      <w:numPr>
        <w:numId w:val="1"/>
      </w:numPr>
      <w:tabs>
        <w:tab w:val="clear" w:pos="643"/>
        <w:tab w:val="num" w:pos="1985"/>
      </w:tabs>
      <w:spacing w:before="120" w:after="120"/>
      <w:ind w:left="851" w:hanging="425"/>
      <w:contextualSpacing/>
    </w:pPr>
  </w:style>
  <w:style w:type="paragraph" w:styleId="ListBullet3">
    <w:name w:val="List Bullet 3"/>
    <w:basedOn w:val="Normal"/>
    <w:uiPriority w:val="99"/>
    <w:rsid w:val="0028789C"/>
    <w:pPr>
      <w:numPr>
        <w:numId w:val="2"/>
      </w:numPr>
      <w:tabs>
        <w:tab w:val="clear" w:pos="926"/>
        <w:tab w:val="num" w:pos="1276"/>
      </w:tabs>
      <w:spacing w:before="120" w:after="120"/>
      <w:ind w:left="1276" w:hanging="425"/>
      <w:contextualSpacing/>
    </w:pPr>
  </w:style>
  <w:style w:type="paragraph" w:styleId="ListBullet4">
    <w:name w:val="List Bullet 4"/>
    <w:basedOn w:val="Normal"/>
    <w:uiPriority w:val="99"/>
    <w:rsid w:val="0028789C"/>
    <w:pPr>
      <w:numPr>
        <w:numId w:val="3"/>
      </w:numPr>
      <w:tabs>
        <w:tab w:val="left" w:pos="1701"/>
      </w:tabs>
      <w:ind w:left="1701" w:hanging="425"/>
      <w:contextualSpacing/>
    </w:pPr>
  </w:style>
  <w:style w:type="paragraph" w:styleId="ListBullet5">
    <w:name w:val="List Bullet 5"/>
    <w:basedOn w:val="Normal"/>
    <w:uiPriority w:val="99"/>
    <w:rsid w:val="0028789C"/>
    <w:pPr>
      <w:numPr>
        <w:numId w:val="4"/>
      </w:numPr>
      <w:ind w:left="2127" w:hanging="426"/>
      <w:contextualSpacing/>
    </w:pPr>
  </w:style>
  <w:style w:type="paragraph" w:styleId="TOC4">
    <w:name w:val="toc 4"/>
    <w:basedOn w:val="TOC3"/>
    <w:next w:val="Normal"/>
    <w:autoRedefine/>
    <w:uiPriority w:val="99"/>
    <w:rsid w:val="00DA0C54"/>
  </w:style>
  <w:style w:type="paragraph" w:styleId="TOC5">
    <w:name w:val="toc 5"/>
    <w:basedOn w:val="TOC4"/>
    <w:next w:val="Normal"/>
    <w:autoRedefine/>
    <w:uiPriority w:val="99"/>
    <w:rsid w:val="00DA0C54"/>
    <w:rPr>
      <w:sz w:val="21"/>
    </w:rPr>
  </w:style>
  <w:style w:type="paragraph" w:styleId="TOC6">
    <w:name w:val="toc 6"/>
    <w:basedOn w:val="TOC5"/>
    <w:next w:val="Normal"/>
    <w:autoRedefine/>
    <w:uiPriority w:val="99"/>
    <w:rsid w:val="00DA0C54"/>
  </w:style>
  <w:style w:type="paragraph" w:styleId="TOC7">
    <w:name w:val="toc 7"/>
    <w:basedOn w:val="TOC6"/>
    <w:next w:val="Normal"/>
    <w:autoRedefine/>
    <w:uiPriority w:val="99"/>
    <w:rsid w:val="00DA0C54"/>
  </w:style>
  <w:style w:type="paragraph" w:styleId="TOC8">
    <w:name w:val="toc 8"/>
    <w:basedOn w:val="TOC7"/>
    <w:next w:val="Normal"/>
    <w:autoRedefine/>
    <w:uiPriority w:val="99"/>
    <w:rsid w:val="00DA0C54"/>
  </w:style>
  <w:style w:type="paragraph" w:styleId="TOC9">
    <w:name w:val="toc 9"/>
    <w:basedOn w:val="Normal"/>
    <w:next w:val="Normal"/>
    <w:autoRedefine/>
    <w:uiPriority w:val="99"/>
    <w:semiHidden/>
    <w:rsid w:val="00B75E84"/>
    <w:pPr>
      <w:spacing w:after="100"/>
      <w:ind w:left="1276"/>
    </w:pPr>
  </w:style>
  <w:style w:type="paragraph" w:styleId="ListContinue2">
    <w:name w:val="List Continue 2"/>
    <w:basedOn w:val="Normal"/>
    <w:uiPriority w:val="99"/>
    <w:rsid w:val="00BE72DE"/>
    <w:pPr>
      <w:spacing w:after="120"/>
      <w:ind w:left="426"/>
      <w:contextualSpacing/>
    </w:pPr>
  </w:style>
  <w:style w:type="paragraph" w:styleId="NormalWeb">
    <w:name w:val="Normal (Web)"/>
    <w:basedOn w:val="Normal"/>
    <w:uiPriority w:val="99"/>
    <w:rsid w:val="00E67408"/>
  </w:style>
  <w:style w:type="character" w:styleId="Emphasis">
    <w:name w:val="Emphasis"/>
    <w:basedOn w:val="DefaultParagraphFont"/>
    <w:uiPriority w:val="99"/>
    <w:qFormat/>
    <w:rsid w:val="00377839"/>
    <w:rPr>
      <w:rFonts w:cs="Times New Roman"/>
      <w:i/>
      <w:iCs/>
    </w:rPr>
  </w:style>
  <w:style w:type="character" w:styleId="IntenseEmphasis">
    <w:name w:val="Intense Emphasis"/>
    <w:basedOn w:val="DefaultParagraphFont"/>
    <w:uiPriority w:val="99"/>
    <w:qFormat/>
    <w:rsid w:val="00CE451F"/>
    <w:rPr>
      <w:rFonts w:cs="Times New Roman"/>
      <w:b/>
      <w:bCs/>
      <w:i/>
      <w:iCs/>
      <w:color w:val="000000"/>
    </w:rPr>
  </w:style>
  <w:style w:type="paragraph" w:styleId="IntenseQuote">
    <w:name w:val="Intense Quote"/>
    <w:basedOn w:val="Normal"/>
    <w:next w:val="Normal"/>
    <w:link w:val="IntenseQuoteChar"/>
    <w:uiPriority w:val="99"/>
    <w:qFormat/>
    <w:rsid w:val="0021492A"/>
    <w:pPr>
      <w:pBdr>
        <w:bottom w:val="single" w:sz="4" w:space="10" w:color="7F7F7F"/>
      </w:pBdr>
      <w:spacing w:before="200" w:after="280"/>
      <w:ind w:left="426" w:right="567"/>
    </w:pPr>
    <w:rPr>
      <w:rFonts w:cs="Calibri"/>
      <w:bCs/>
      <w:i/>
      <w:iCs/>
      <w:color w:val="000000"/>
      <w:sz w:val="28"/>
    </w:rPr>
  </w:style>
  <w:style w:type="character" w:customStyle="1" w:styleId="IntenseQuoteChar">
    <w:name w:val="Intense Quote Char"/>
    <w:basedOn w:val="DefaultParagraphFont"/>
    <w:link w:val="IntenseQuote"/>
    <w:uiPriority w:val="99"/>
    <w:locked/>
    <w:rsid w:val="0021492A"/>
    <w:rPr>
      <w:rFonts w:eastAsia="Times New Roman" w:cs="Calibri"/>
      <w:bCs/>
      <w:i/>
      <w:iCs/>
      <w:color w:val="000000"/>
      <w:sz w:val="24"/>
      <w:szCs w:val="24"/>
      <w:lang w:eastAsia="en-AU"/>
    </w:rPr>
  </w:style>
  <w:style w:type="character" w:styleId="Strong">
    <w:name w:val="Strong"/>
    <w:basedOn w:val="DefaultParagraphFont"/>
    <w:uiPriority w:val="99"/>
    <w:qFormat/>
    <w:rsid w:val="00CE451F"/>
    <w:rPr>
      <w:rFonts w:cs="Times New Roman"/>
      <w:b/>
      <w:bCs/>
    </w:rPr>
  </w:style>
  <w:style w:type="paragraph" w:styleId="Subtitle">
    <w:name w:val="Subtitle"/>
    <w:basedOn w:val="Normal"/>
    <w:next w:val="Normal"/>
    <w:link w:val="SubtitleChar"/>
    <w:uiPriority w:val="99"/>
    <w:qFormat/>
    <w:rsid w:val="0021492A"/>
    <w:pPr>
      <w:numPr>
        <w:ilvl w:val="1"/>
      </w:numPr>
    </w:pPr>
    <w:rPr>
      <w:rFonts w:ascii="Calibri" w:eastAsia="Calibri" w:hAnsi="Calibri" w:cs="Calibri"/>
      <w:iCs/>
      <w:smallCaps/>
      <w:spacing w:val="15"/>
      <w:sz w:val="28"/>
    </w:rPr>
  </w:style>
  <w:style w:type="character" w:customStyle="1" w:styleId="SubtitleChar">
    <w:name w:val="Subtitle Char"/>
    <w:basedOn w:val="DefaultParagraphFont"/>
    <w:link w:val="Subtitle"/>
    <w:uiPriority w:val="99"/>
    <w:locked/>
    <w:rsid w:val="0021492A"/>
    <w:rPr>
      <w:rFonts w:eastAsia="Times New Roman" w:cs="Calibri"/>
      <w:iCs/>
      <w:smallCaps/>
      <w:spacing w:val="15"/>
      <w:sz w:val="24"/>
      <w:szCs w:val="24"/>
      <w:lang w:eastAsia="en-AU"/>
    </w:rPr>
  </w:style>
  <w:style w:type="paragraph" w:customStyle="1" w:styleId="Recommendation">
    <w:name w:val="Recommendation"/>
    <w:uiPriority w:val="99"/>
    <w:rsid w:val="006049BA"/>
    <w:pPr>
      <w:pBdr>
        <w:bottom w:val="single" w:sz="4" w:space="10" w:color="808080"/>
      </w:pBdr>
      <w:autoSpaceDE w:val="0"/>
      <w:autoSpaceDN w:val="0"/>
      <w:adjustRightInd w:val="0"/>
      <w:spacing w:after="360" w:line="276" w:lineRule="auto"/>
    </w:pPr>
    <w:rPr>
      <w:rFonts w:cs="ArialNarrow"/>
      <w:lang w:eastAsia="en-US"/>
    </w:rPr>
  </w:style>
  <w:style w:type="paragraph" w:customStyle="1" w:styleId="Recomendationheading">
    <w:name w:val="Recomendation heading"/>
    <w:basedOn w:val="Recommendation"/>
    <w:next w:val="Recommendation"/>
    <w:uiPriority w:val="99"/>
    <w:rsid w:val="0021492A"/>
    <w:pPr>
      <w:keepNext/>
      <w:pBdr>
        <w:top w:val="single" w:sz="4" w:space="10" w:color="808080"/>
        <w:bottom w:val="none" w:sz="0" w:space="0" w:color="auto"/>
      </w:pBdr>
      <w:spacing w:after="120"/>
    </w:pPr>
    <w:rPr>
      <w:rFonts w:cs="Calibri"/>
      <w:caps/>
      <w:sz w:val="28"/>
    </w:rPr>
  </w:style>
  <w:style w:type="character" w:styleId="EndnoteReference">
    <w:name w:val="endnote reference"/>
    <w:basedOn w:val="DefaultParagraphFont"/>
    <w:uiPriority w:val="99"/>
    <w:rsid w:val="00377839"/>
    <w:rPr>
      <w:rFonts w:cs="Times New Roman"/>
      <w:vertAlign w:val="superscript"/>
    </w:rPr>
  </w:style>
  <w:style w:type="character" w:styleId="SubtleReference">
    <w:name w:val="Subtle Reference"/>
    <w:basedOn w:val="DefaultParagraphFont"/>
    <w:uiPriority w:val="99"/>
    <w:qFormat/>
    <w:rsid w:val="005F1AF0"/>
    <w:rPr>
      <w:rFonts w:cs="Times New Roman"/>
      <w:smallCaps/>
      <w:color w:val="000000"/>
      <w:u w:val="single"/>
    </w:rPr>
  </w:style>
  <w:style w:type="character" w:styleId="IntenseReference">
    <w:name w:val="Intense Reference"/>
    <w:basedOn w:val="DefaultParagraphFont"/>
    <w:uiPriority w:val="99"/>
    <w:qFormat/>
    <w:rsid w:val="005F1AF0"/>
    <w:rPr>
      <w:rFonts w:cs="Times New Roman"/>
      <w:b/>
      <w:bCs/>
      <w:smallCaps/>
      <w:color w:val="auto"/>
      <w:spacing w:val="5"/>
      <w:u w:val="single"/>
    </w:rPr>
  </w:style>
  <w:style w:type="paragraph" w:styleId="Header">
    <w:name w:val="header"/>
    <w:basedOn w:val="Normal"/>
    <w:link w:val="HeaderChar"/>
    <w:uiPriority w:val="99"/>
    <w:rsid w:val="005F1AF0"/>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5F1AF0"/>
    <w:rPr>
      <w:rFonts w:ascii="Minion Pro" w:hAnsi="Minion Pro" w:cs="Times New Roman"/>
      <w:sz w:val="24"/>
      <w:szCs w:val="24"/>
      <w:lang w:eastAsia="en-AU"/>
    </w:rPr>
  </w:style>
  <w:style w:type="paragraph" w:styleId="PlainText">
    <w:name w:val="Plain Text"/>
    <w:basedOn w:val="Normal"/>
    <w:link w:val="PlainTextChar"/>
    <w:uiPriority w:val="99"/>
    <w:semiHidden/>
    <w:rsid w:val="00A22FCD"/>
    <w:pPr>
      <w:spacing w:before="0" w:after="0" w:line="240" w:lineRule="auto"/>
    </w:pPr>
    <w:rPr>
      <w:rFonts w:cs="Consolas"/>
      <w:szCs w:val="21"/>
    </w:rPr>
  </w:style>
  <w:style w:type="character" w:customStyle="1" w:styleId="PlainTextChar">
    <w:name w:val="Plain Text Char"/>
    <w:basedOn w:val="DefaultParagraphFont"/>
    <w:link w:val="PlainText"/>
    <w:uiPriority w:val="99"/>
    <w:semiHidden/>
    <w:locked/>
    <w:rsid w:val="00A22FCD"/>
    <w:rPr>
      <w:rFonts w:ascii="Minion Pro" w:hAnsi="Minion Pro" w:cs="Consolas"/>
      <w:sz w:val="21"/>
      <w:szCs w:val="21"/>
      <w:lang w:eastAsia="en-AU"/>
    </w:rPr>
  </w:style>
  <w:style w:type="paragraph" w:styleId="BlockText">
    <w:name w:val="Block Text"/>
    <w:basedOn w:val="Normal"/>
    <w:uiPriority w:val="99"/>
    <w:rsid w:val="00F60363"/>
    <w:pPr>
      <w:pBdr>
        <w:top w:val="single" w:sz="2" w:space="12" w:color="808080"/>
        <w:bottom w:val="single" w:sz="2" w:space="12" w:color="808080"/>
      </w:pBdr>
    </w:pPr>
    <w:rPr>
      <w:rFonts w:eastAsia="Calibri" w:cs="Cordia New"/>
      <w:i/>
      <w:iCs/>
    </w:rPr>
  </w:style>
  <w:style w:type="paragraph" w:styleId="ListNumber">
    <w:name w:val="List Number"/>
    <w:basedOn w:val="Normal"/>
    <w:uiPriority w:val="99"/>
    <w:semiHidden/>
    <w:rsid w:val="0039436C"/>
    <w:pPr>
      <w:numPr>
        <w:numId w:val="5"/>
      </w:numPr>
      <w:ind w:left="357" w:hanging="357"/>
      <w:contextualSpacing/>
    </w:pPr>
  </w:style>
  <w:style w:type="character" w:styleId="BookTitle">
    <w:name w:val="Book Title"/>
    <w:basedOn w:val="DefaultParagraphFont"/>
    <w:uiPriority w:val="99"/>
    <w:qFormat/>
    <w:rsid w:val="003A006B"/>
    <w:rPr>
      <w:rFonts w:ascii="Calibri" w:hAnsi="Calibri" w:cs="Calibri"/>
      <w:b/>
      <w:bCs/>
      <w:caps/>
      <w:spacing w:val="5"/>
      <w:sz w:val="21"/>
      <w:szCs w:val="21"/>
    </w:rPr>
  </w:style>
  <w:style w:type="character" w:styleId="PlaceholderText">
    <w:name w:val="Placeholder Text"/>
    <w:basedOn w:val="DefaultParagraphFont"/>
    <w:uiPriority w:val="99"/>
    <w:semiHidden/>
    <w:rsid w:val="000A5CA6"/>
    <w:rPr>
      <w:rFonts w:cs="Times New Roman"/>
      <w:color w:val="808080"/>
    </w:rPr>
  </w:style>
  <w:style w:type="paragraph" w:styleId="TOAHeading">
    <w:name w:val="toa heading"/>
    <w:basedOn w:val="TOCHeading"/>
    <w:next w:val="Normal"/>
    <w:uiPriority w:val="99"/>
    <w:rsid w:val="00DA0C54"/>
  </w:style>
  <w:style w:type="character" w:styleId="FollowedHyperlink">
    <w:name w:val="FollowedHyperlink"/>
    <w:basedOn w:val="DefaultParagraphFont"/>
    <w:uiPriority w:val="99"/>
    <w:rsid w:val="00D43081"/>
    <w:rPr>
      <w:rFonts w:cs="Times New Roman"/>
      <w:u w:val="single"/>
    </w:rPr>
  </w:style>
  <w:style w:type="character" w:styleId="CommentReference">
    <w:name w:val="annotation reference"/>
    <w:basedOn w:val="DefaultParagraphFont"/>
    <w:uiPriority w:val="99"/>
    <w:semiHidden/>
    <w:rsid w:val="008A57B6"/>
    <w:rPr>
      <w:rFonts w:cs="Times New Roman"/>
      <w:sz w:val="16"/>
      <w:szCs w:val="16"/>
    </w:rPr>
  </w:style>
  <w:style w:type="paragraph" w:styleId="CommentText">
    <w:name w:val="annotation text"/>
    <w:basedOn w:val="Normal"/>
    <w:link w:val="CommentTextChar"/>
    <w:uiPriority w:val="99"/>
    <w:semiHidden/>
    <w:rsid w:val="008A57B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57B6"/>
    <w:rPr>
      <w:rFonts w:ascii="Cambria" w:hAnsi="Cambria" w:cs="Times New Roman"/>
      <w:sz w:val="20"/>
      <w:szCs w:val="20"/>
      <w:lang w:eastAsia="en-AU"/>
    </w:rPr>
  </w:style>
  <w:style w:type="paragraph" w:styleId="CommentSubject">
    <w:name w:val="annotation subject"/>
    <w:basedOn w:val="CommentText"/>
    <w:next w:val="CommentText"/>
    <w:link w:val="CommentSubjectChar"/>
    <w:uiPriority w:val="99"/>
    <w:semiHidden/>
    <w:rsid w:val="008A57B6"/>
    <w:rPr>
      <w:b/>
      <w:bCs/>
    </w:rPr>
  </w:style>
  <w:style w:type="character" w:customStyle="1" w:styleId="CommentSubjectChar">
    <w:name w:val="Comment Subject Char"/>
    <w:basedOn w:val="CommentTextChar"/>
    <w:link w:val="CommentSubject"/>
    <w:uiPriority w:val="99"/>
    <w:semiHidden/>
    <w:locked/>
    <w:rsid w:val="008A57B6"/>
    <w:rPr>
      <w:rFonts w:ascii="Cambria" w:hAnsi="Cambria" w:cs="Times New Roman"/>
      <w:b/>
      <w:bCs/>
      <w:sz w:val="20"/>
      <w:szCs w:val="20"/>
      <w:lang w:eastAsia="en-AU"/>
    </w:rPr>
  </w:style>
  <w:style w:type="paragraph" w:customStyle="1" w:styleId="ADAHeading2">
    <w:name w:val="ADA Heading 2"/>
    <w:basedOn w:val="Normal"/>
    <w:uiPriority w:val="99"/>
    <w:rsid w:val="00CE1147"/>
    <w:pPr>
      <w:keepNext/>
      <w:spacing w:before="0" w:after="240" w:line="240" w:lineRule="auto"/>
    </w:pPr>
    <w:rPr>
      <w:rFonts w:ascii="Arial Narrow" w:hAnsi="Arial Narrow"/>
      <w:b/>
      <w:sz w:val="25"/>
      <w:lang w:eastAsia="en-US"/>
    </w:rPr>
  </w:style>
  <w:style w:type="paragraph" w:styleId="HTMLPreformatted">
    <w:name w:val="HTML Preformatted"/>
    <w:basedOn w:val="Normal"/>
    <w:link w:val="HTMLPreformattedChar"/>
    <w:uiPriority w:val="99"/>
    <w:semiHidden/>
    <w:rsid w:val="00500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sz w:val="20"/>
      <w:szCs w:val="20"/>
      <w:lang w:val="en-US" w:eastAsia="zh-CN" w:bidi="th-TH"/>
    </w:rPr>
  </w:style>
  <w:style w:type="character" w:customStyle="1" w:styleId="HTMLPreformattedChar">
    <w:name w:val="HTML Preformatted Char"/>
    <w:basedOn w:val="DefaultParagraphFont"/>
    <w:link w:val="HTMLPreformatted"/>
    <w:uiPriority w:val="99"/>
    <w:semiHidden/>
    <w:locked/>
    <w:rsid w:val="00500FC7"/>
    <w:rPr>
      <w:rFonts w:ascii="Courier New" w:hAnsi="Courier New" w:cs="Courier New"/>
      <w:sz w:val="20"/>
      <w:szCs w:val="20"/>
      <w:lang w:val="en-US" w:eastAsia="zh-CN" w:bidi="th-TH"/>
    </w:rPr>
  </w:style>
  <w:style w:type="paragraph" w:styleId="MessageHeader">
    <w:name w:val="Message Header"/>
    <w:basedOn w:val="Normal"/>
    <w:link w:val="MessageHeaderChar"/>
    <w:uiPriority w:val="99"/>
    <w:semiHidden/>
    <w:rsid w:val="00AB0017"/>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eastAsia="Calibri" w:cs="Angsana New"/>
      <w:sz w:val="24"/>
    </w:rPr>
  </w:style>
  <w:style w:type="character" w:customStyle="1" w:styleId="MessageHeaderChar">
    <w:name w:val="Message Header Char"/>
    <w:basedOn w:val="DefaultParagraphFont"/>
    <w:link w:val="MessageHeader"/>
    <w:uiPriority w:val="99"/>
    <w:semiHidden/>
    <w:locked/>
    <w:rsid w:val="00AB0017"/>
    <w:rPr>
      <w:rFonts w:ascii="Cambria" w:eastAsia="Times New Roman" w:hAnsi="Cambria" w:cs="Angsana New"/>
      <w:sz w:val="24"/>
      <w:szCs w:val="24"/>
      <w:shd w:val="pct20" w:color="auto" w:fill="auto"/>
      <w:lang w:eastAsia="en-AU" w:bidi="th-TH"/>
    </w:rPr>
  </w:style>
  <w:style w:type="numbering" w:customStyle="1" w:styleId="Style1">
    <w:name w:val="Style1"/>
    <w:rsid w:val="00A1564A"/>
    <w:pPr>
      <w:numPr>
        <w:numId w:val="9"/>
      </w:numPr>
    </w:pPr>
  </w:style>
  <w:style w:type="numbering" w:styleId="1ai">
    <w:name w:val="Outline List 1"/>
    <w:basedOn w:val="NoList"/>
    <w:locked/>
    <w:rsid w:val="00A1564A"/>
    <w:pPr>
      <w:numPr>
        <w:numId w:val="6"/>
      </w:numPr>
    </w:pPr>
  </w:style>
  <w:style w:type="paragraph" w:customStyle="1" w:styleId="ADArecommendationbox">
    <w:name w:val="ADA recommendation box"/>
    <w:basedOn w:val="Normal"/>
    <w:rsid w:val="00745C1D"/>
    <w:pPr>
      <w:pBdr>
        <w:top w:val="single" w:sz="4" w:space="6" w:color="auto"/>
        <w:left w:val="single" w:sz="4" w:space="4" w:color="auto"/>
        <w:bottom w:val="single" w:sz="4" w:space="6" w:color="auto"/>
        <w:right w:val="single" w:sz="4" w:space="4" w:color="auto"/>
      </w:pBdr>
      <w:shd w:val="clear" w:color="auto" w:fill="C0C0C0"/>
      <w:spacing w:before="0" w:after="240" w:line="240" w:lineRule="auto"/>
      <w:ind w:left="680"/>
    </w:pPr>
    <w:rPr>
      <w:rFonts w:ascii="Times New Roman" w:eastAsia="SimSun" w:hAnsi="Times New Roman"/>
      <w:sz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sz w:val="22"/>
        <w:szCs w:val="22"/>
        <w:lang w:val="en-AU" w:eastAsia="en-AU"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uiPriority="0"/>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E3725"/>
    <w:pPr>
      <w:spacing w:before="220" w:after="220" w:line="276" w:lineRule="auto"/>
    </w:pPr>
    <w:rPr>
      <w:rFonts w:ascii="Cambria" w:eastAsia="Times New Roman" w:hAnsi="Cambria" w:cs="Times New Roman"/>
      <w:sz w:val="19"/>
      <w:szCs w:val="24"/>
    </w:rPr>
  </w:style>
  <w:style w:type="paragraph" w:styleId="Heading1">
    <w:name w:val="heading 1"/>
    <w:basedOn w:val="Normal"/>
    <w:next w:val="Normal"/>
    <w:link w:val="Heading1Char"/>
    <w:uiPriority w:val="99"/>
    <w:qFormat/>
    <w:rsid w:val="0021492A"/>
    <w:pPr>
      <w:keepNext/>
      <w:keepLines/>
      <w:spacing w:before="300" w:after="300"/>
      <w:outlineLvl w:val="0"/>
    </w:pPr>
    <w:rPr>
      <w:rFonts w:ascii="Calibri" w:eastAsia="Calibri" w:hAnsi="Calibri" w:cs="Calibri"/>
      <w:b/>
      <w:bCs/>
      <w:color w:val="1E8FBB"/>
      <w:sz w:val="40"/>
      <w:szCs w:val="28"/>
    </w:rPr>
  </w:style>
  <w:style w:type="paragraph" w:styleId="Heading2">
    <w:name w:val="heading 2"/>
    <w:basedOn w:val="Heading1"/>
    <w:next w:val="Normal"/>
    <w:link w:val="Heading2Char"/>
    <w:uiPriority w:val="99"/>
    <w:qFormat/>
    <w:rsid w:val="0021492A"/>
    <w:pPr>
      <w:spacing w:line="240" w:lineRule="auto"/>
      <w:outlineLvl w:val="1"/>
    </w:pPr>
    <w:rPr>
      <w:sz w:val="32"/>
      <w:szCs w:val="32"/>
    </w:rPr>
  </w:style>
  <w:style w:type="paragraph" w:styleId="Heading3">
    <w:name w:val="heading 3"/>
    <w:basedOn w:val="Heading1"/>
    <w:next w:val="Normal"/>
    <w:link w:val="Heading3Char"/>
    <w:uiPriority w:val="99"/>
    <w:qFormat/>
    <w:rsid w:val="0021492A"/>
    <w:pPr>
      <w:outlineLvl w:val="2"/>
    </w:pPr>
    <w:rPr>
      <w:b w:val="0"/>
      <w:caps/>
      <w:color w:val="auto"/>
      <w:sz w:val="32"/>
      <w:szCs w:val="32"/>
    </w:rPr>
  </w:style>
  <w:style w:type="paragraph" w:styleId="Heading4">
    <w:name w:val="heading 4"/>
    <w:basedOn w:val="Heading3"/>
    <w:next w:val="Normal"/>
    <w:link w:val="Heading4Char"/>
    <w:uiPriority w:val="99"/>
    <w:qFormat/>
    <w:rsid w:val="0021492A"/>
    <w:pPr>
      <w:outlineLvl w:val="3"/>
    </w:pPr>
    <w:rPr>
      <w:b/>
      <w:caps w:val="0"/>
    </w:rPr>
  </w:style>
  <w:style w:type="paragraph" w:styleId="Heading5">
    <w:name w:val="heading 5"/>
    <w:basedOn w:val="Normal"/>
    <w:next w:val="Normal"/>
    <w:link w:val="Heading5Char"/>
    <w:uiPriority w:val="99"/>
    <w:qFormat/>
    <w:rsid w:val="0021492A"/>
    <w:pPr>
      <w:keepNext/>
      <w:keepLines/>
      <w:spacing w:before="200" w:after="200"/>
      <w:outlineLvl w:val="4"/>
    </w:pPr>
    <w:rPr>
      <w:rFonts w:ascii="Calibri" w:eastAsia="Calibri" w:hAnsi="Calibri" w:cs="Calibri"/>
      <w:i/>
      <w:sz w:val="24"/>
      <w:lang w:eastAsia="en-US"/>
    </w:rPr>
  </w:style>
  <w:style w:type="paragraph" w:styleId="Heading6">
    <w:name w:val="heading 6"/>
    <w:basedOn w:val="Normal"/>
    <w:next w:val="Normal"/>
    <w:link w:val="Heading6Char"/>
    <w:uiPriority w:val="99"/>
    <w:qFormat/>
    <w:rsid w:val="0021492A"/>
    <w:pPr>
      <w:keepNext/>
      <w:keepLines/>
      <w:spacing w:before="200" w:after="0"/>
      <w:outlineLvl w:val="5"/>
    </w:pPr>
    <w:rPr>
      <w:rFonts w:ascii="Calibri" w:eastAsia="Calibri" w:hAnsi="Calibri" w:cs="Calibri"/>
      <w:i/>
      <w:iCs/>
      <w:color w:val="000000"/>
      <w:sz w:val="21"/>
    </w:rPr>
  </w:style>
  <w:style w:type="paragraph" w:styleId="Heading7">
    <w:name w:val="heading 7"/>
    <w:basedOn w:val="Heading6"/>
    <w:next w:val="Normal"/>
    <w:link w:val="Heading7Char"/>
    <w:uiPriority w:val="99"/>
    <w:qFormat/>
    <w:rsid w:val="006049BA"/>
    <w:pPr>
      <w:outlineLvl w:val="6"/>
    </w:pPr>
  </w:style>
  <w:style w:type="paragraph" w:styleId="Heading8">
    <w:name w:val="heading 8"/>
    <w:basedOn w:val="Normal"/>
    <w:next w:val="Normal"/>
    <w:link w:val="Heading8Char"/>
    <w:uiPriority w:val="99"/>
    <w:qFormat/>
    <w:rsid w:val="006049BA"/>
    <w:pPr>
      <w:keepNext/>
      <w:keepLines/>
      <w:spacing w:before="200" w:after="0"/>
      <w:outlineLvl w:val="7"/>
    </w:pPr>
    <w:rPr>
      <w:rFonts w:ascii="Calibri" w:eastAsia="Calibri" w:hAnsi="Calibri" w:cs="Calibri"/>
      <w:b/>
      <w:color w:val="000000"/>
      <w:sz w:val="21"/>
      <w:szCs w:val="20"/>
    </w:rPr>
  </w:style>
  <w:style w:type="paragraph" w:styleId="Heading9">
    <w:name w:val="heading 9"/>
    <w:basedOn w:val="Heading8"/>
    <w:next w:val="Normal"/>
    <w:link w:val="Heading9Char"/>
    <w:uiPriority w:val="99"/>
    <w:qFormat/>
    <w:rsid w:val="006049B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492A"/>
    <w:rPr>
      <w:rFonts w:eastAsia="Times New Roman" w:cs="Calibri"/>
      <w:b/>
      <w:bCs/>
      <w:color w:val="1E8FBB"/>
      <w:sz w:val="28"/>
      <w:szCs w:val="28"/>
      <w:lang w:val="en-AU" w:eastAsia="en-AU" w:bidi="ar-SA"/>
    </w:rPr>
  </w:style>
  <w:style w:type="character" w:customStyle="1" w:styleId="Heading2Char">
    <w:name w:val="Heading 2 Char"/>
    <w:basedOn w:val="DefaultParagraphFont"/>
    <w:link w:val="Heading2"/>
    <w:uiPriority w:val="99"/>
    <w:locked/>
    <w:rsid w:val="0021492A"/>
    <w:rPr>
      <w:rFonts w:eastAsia="Times New Roman" w:cs="Calibri"/>
      <w:b/>
      <w:bCs/>
      <w:color w:val="1E8FBB"/>
      <w:sz w:val="32"/>
      <w:szCs w:val="32"/>
      <w:lang w:eastAsia="en-AU"/>
    </w:rPr>
  </w:style>
  <w:style w:type="character" w:customStyle="1" w:styleId="Heading3Char">
    <w:name w:val="Heading 3 Char"/>
    <w:basedOn w:val="DefaultParagraphFont"/>
    <w:link w:val="Heading3"/>
    <w:uiPriority w:val="99"/>
    <w:locked/>
    <w:rsid w:val="0021492A"/>
    <w:rPr>
      <w:rFonts w:ascii="Calibri" w:eastAsia="Times New Roman" w:hAnsi="Calibri" w:cs="Calibri"/>
      <w:bCs/>
      <w:caps/>
      <w:sz w:val="32"/>
      <w:szCs w:val="32"/>
      <w:lang w:eastAsia="en-AU"/>
    </w:rPr>
  </w:style>
  <w:style w:type="character" w:customStyle="1" w:styleId="Heading4Char">
    <w:name w:val="Heading 4 Char"/>
    <w:basedOn w:val="DefaultParagraphFont"/>
    <w:link w:val="Heading4"/>
    <w:uiPriority w:val="99"/>
    <w:locked/>
    <w:rsid w:val="0021492A"/>
    <w:rPr>
      <w:rFonts w:ascii="Calibri" w:eastAsia="Times New Roman" w:hAnsi="Calibri" w:cs="Calibri"/>
      <w:b/>
      <w:bCs/>
      <w:sz w:val="32"/>
      <w:szCs w:val="32"/>
      <w:lang w:eastAsia="en-AU"/>
    </w:rPr>
  </w:style>
  <w:style w:type="character" w:customStyle="1" w:styleId="Heading5Char">
    <w:name w:val="Heading 5 Char"/>
    <w:basedOn w:val="DefaultParagraphFont"/>
    <w:link w:val="Heading5"/>
    <w:uiPriority w:val="99"/>
    <w:locked/>
    <w:rsid w:val="0021492A"/>
    <w:rPr>
      <w:rFonts w:cs="Calibri"/>
      <w:i/>
      <w:sz w:val="24"/>
      <w:szCs w:val="24"/>
      <w:lang w:val="en-AU" w:eastAsia="en-US" w:bidi="ar-SA"/>
    </w:rPr>
  </w:style>
  <w:style w:type="character" w:customStyle="1" w:styleId="Heading6Char">
    <w:name w:val="Heading 6 Char"/>
    <w:basedOn w:val="DefaultParagraphFont"/>
    <w:link w:val="Heading6"/>
    <w:uiPriority w:val="99"/>
    <w:locked/>
    <w:rsid w:val="0021492A"/>
    <w:rPr>
      <w:rFonts w:eastAsia="Times New Roman" w:cs="Calibri"/>
      <w:i/>
      <w:iCs/>
      <w:color w:val="000000"/>
      <w:sz w:val="24"/>
      <w:szCs w:val="24"/>
      <w:lang w:val="en-AU" w:eastAsia="en-AU" w:bidi="ar-SA"/>
    </w:rPr>
  </w:style>
  <w:style w:type="character" w:customStyle="1" w:styleId="Heading7Char">
    <w:name w:val="Heading 7 Char"/>
    <w:basedOn w:val="DefaultParagraphFont"/>
    <w:link w:val="Heading7"/>
    <w:uiPriority w:val="99"/>
    <w:locked/>
    <w:rsid w:val="006049BA"/>
    <w:rPr>
      <w:rFonts w:eastAsia="Times New Roman" w:cs="Calibri"/>
      <w:i/>
      <w:iCs/>
      <w:color w:val="000000"/>
      <w:sz w:val="24"/>
      <w:szCs w:val="24"/>
      <w:lang w:eastAsia="en-AU"/>
    </w:rPr>
  </w:style>
  <w:style w:type="character" w:customStyle="1" w:styleId="Heading8Char">
    <w:name w:val="Heading 8 Char"/>
    <w:basedOn w:val="DefaultParagraphFont"/>
    <w:link w:val="Heading8"/>
    <w:uiPriority w:val="99"/>
    <w:locked/>
    <w:rsid w:val="006049BA"/>
    <w:rPr>
      <w:rFonts w:eastAsia="Times New Roman" w:cs="Calibri"/>
      <w:b/>
      <w:color w:val="000000"/>
      <w:sz w:val="21"/>
      <w:lang w:val="en-AU" w:eastAsia="en-AU" w:bidi="ar-SA"/>
    </w:rPr>
  </w:style>
  <w:style w:type="character" w:customStyle="1" w:styleId="Heading9Char">
    <w:name w:val="Heading 9 Char"/>
    <w:basedOn w:val="DefaultParagraphFont"/>
    <w:link w:val="Heading9"/>
    <w:uiPriority w:val="99"/>
    <w:locked/>
    <w:rsid w:val="006049BA"/>
    <w:rPr>
      <w:rFonts w:eastAsia="Times New Roman" w:cs="Calibri"/>
      <w:b/>
      <w:color w:val="000000"/>
      <w:sz w:val="20"/>
      <w:szCs w:val="20"/>
      <w:lang w:eastAsia="en-AU"/>
    </w:rPr>
  </w:style>
  <w:style w:type="paragraph" w:styleId="Title">
    <w:name w:val="Title"/>
    <w:basedOn w:val="Normal"/>
    <w:next w:val="Normal"/>
    <w:link w:val="TitleChar"/>
    <w:uiPriority w:val="99"/>
    <w:qFormat/>
    <w:rsid w:val="0021492A"/>
    <w:pPr>
      <w:pBdr>
        <w:bottom w:val="single" w:sz="2" w:space="0" w:color="000000"/>
      </w:pBdr>
      <w:tabs>
        <w:tab w:val="right" w:pos="8220"/>
      </w:tabs>
      <w:spacing w:before="240" w:after="60" w:line="240" w:lineRule="auto"/>
      <w:contextualSpacing/>
    </w:pPr>
    <w:rPr>
      <w:rFonts w:ascii="Calibri" w:eastAsia="Calibri" w:hAnsi="Calibri" w:cs="Calibri"/>
      <w:b/>
      <w:caps/>
      <w:kern w:val="32"/>
      <w:sz w:val="40"/>
      <w:szCs w:val="40"/>
    </w:rPr>
  </w:style>
  <w:style w:type="character" w:customStyle="1" w:styleId="TitleChar">
    <w:name w:val="Title Char"/>
    <w:basedOn w:val="DefaultParagraphFont"/>
    <w:link w:val="Title"/>
    <w:uiPriority w:val="99"/>
    <w:locked/>
    <w:rsid w:val="0021492A"/>
    <w:rPr>
      <w:rFonts w:eastAsia="Times New Roman" w:cs="Calibri"/>
      <w:b/>
      <w:caps/>
      <w:kern w:val="32"/>
      <w:sz w:val="40"/>
      <w:szCs w:val="40"/>
      <w:lang w:eastAsia="en-AU"/>
    </w:rPr>
  </w:style>
  <w:style w:type="paragraph" w:customStyle="1" w:styleId="BulletSpacing">
    <w:name w:val="Bullet Spacing"/>
    <w:basedOn w:val="ListParagraph"/>
    <w:uiPriority w:val="99"/>
    <w:rsid w:val="001674AE"/>
  </w:style>
  <w:style w:type="paragraph" w:customStyle="1" w:styleId="NumberedSpacing">
    <w:name w:val="Numbered Spacing"/>
    <w:basedOn w:val="Normal"/>
    <w:uiPriority w:val="99"/>
    <w:rsid w:val="001674AE"/>
    <w:pPr>
      <w:numPr>
        <w:numId w:val="10"/>
      </w:numPr>
      <w:tabs>
        <w:tab w:val="left" w:pos="567"/>
      </w:tabs>
      <w:spacing w:before="0" w:after="120" w:line="288" w:lineRule="auto"/>
    </w:pPr>
    <w:rPr>
      <w:szCs w:val="21"/>
      <w:lang w:eastAsia="en-US"/>
    </w:rPr>
  </w:style>
  <w:style w:type="character" w:styleId="Hyperlink">
    <w:name w:val="Hyperlink"/>
    <w:basedOn w:val="DefaultParagraphFont"/>
    <w:uiPriority w:val="99"/>
    <w:rsid w:val="00A22FCD"/>
    <w:rPr>
      <w:rFonts w:cs="Times New Roman"/>
      <w:color w:val="auto"/>
      <w:u w:val="single"/>
    </w:rPr>
  </w:style>
  <w:style w:type="paragraph" w:styleId="BalloonText">
    <w:name w:val="Balloon Text"/>
    <w:basedOn w:val="Normal"/>
    <w:link w:val="BalloonTextChar"/>
    <w:uiPriority w:val="99"/>
    <w:semiHidden/>
    <w:rsid w:val="004D76F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4D76FE"/>
    <w:rPr>
      <w:rFonts w:ascii="Tahoma" w:hAnsi="Tahoma" w:cs="Tahoma"/>
      <w:sz w:val="16"/>
      <w:szCs w:val="16"/>
    </w:rPr>
  </w:style>
  <w:style w:type="paragraph" w:styleId="FootnoteText">
    <w:name w:val="footnote text"/>
    <w:basedOn w:val="Normal"/>
    <w:link w:val="FootnoteTextChar"/>
    <w:uiPriority w:val="99"/>
    <w:rsid w:val="00745C1D"/>
    <w:pPr>
      <w:spacing w:before="120" w:after="0"/>
    </w:pPr>
    <w:rPr>
      <w:color w:val="404040"/>
      <w:sz w:val="14"/>
      <w:szCs w:val="14"/>
    </w:rPr>
  </w:style>
  <w:style w:type="character" w:customStyle="1" w:styleId="FootnoteTextChar">
    <w:name w:val="Footnote Text Char"/>
    <w:basedOn w:val="DefaultParagraphFont"/>
    <w:link w:val="FootnoteText"/>
    <w:uiPriority w:val="99"/>
    <w:locked/>
    <w:rsid w:val="00745C1D"/>
    <w:rPr>
      <w:rFonts w:ascii="Cambria" w:eastAsia="Times New Roman" w:hAnsi="Cambria" w:cs="Times New Roman"/>
      <w:color w:val="404040"/>
      <w:sz w:val="14"/>
      <w:szCs w:val="14"/>
    </w:rPr>
  </w:style>
  <w:style w:type="character" w:styleId="FootnoteReference">
    <w:name w:val="footnote reference"/>
    <w:basedOn w:val="DefaultParagraphFont"/>
    <w:uiPriority w:val="99"/>
    <w:semiHidden/>
    <w:rsid w:val="004D76FE"/>
    <w:rPr>
      <w:rFonts w:cs="Times New Roman"/>
      <w:vertAlign w:val="superscript"/>
    </w:rPr>
  </w:style>
  <w:style w:type="paragraph" w:styleId="Footer">
    <w:name w:val="footer"/>
    <w:basedOn w:val="Normal"/>
    <w:link w:val="FooterChar"/>
    <w:uiPriority w:val="99"/>
    <w:rsid w:val="003A006B"/>
    <w:pPr>
      <w:tabs>
        <w:tab w:val="center" w:pos="4153"/>
        <w:tab w:val="right" w:pos="8306"/>
      </w:tabs>
      <w:jc w:val="right"/>
    </w:pPr>
    <w:rPr>
      <w:rFonts w:ascii="Calibri" w:eastAsia="Calibri" w:hAnsi="Calibri" w:cs="Calibri"/>
      <w:sz w:val="16"/>
      <w:szCs w:val="16"/>
    </w:rPr>
  </w:style>
  <w:style w:type="character" w:customStyle="1" w:styleId="FooterChar">
    <w:name w:val="Footer Char"/>
    <w:basedOn w:val="DefaultParagraphFont"/>
    <w:link w:val="Footer"/>
    <w:uiPriority w:val="99"/>
    <w:locked/>
    <w:rsid w:val="003A006B"/>
    <w:rPr>
      <w:rFonts w:eastAsia="Times New Roman" w:cs="Calibri"/>
      <w:sz w:val="16"/>
      <w:szCs w:val="16"/>
      <w:lang w:eastAsia="en-AU"/>
    </w:rPr>
  </w:style>
  <w:style w:type="character" w:styleId="PageNumber">
    <w:name w:val="page number"/>
    <w:basedOn w:val="DefaultParagraphFont"/>
    <w:uiPriority w:val="99"/>
    <w:rsid w:val="003A006B"/>
    <w:rPr>
      <w:rFonts w:cs="Times New Roman"/>
    </w:rPr>
  </w:style>
  <w:style w:type="paragraph" w:styleId="Quote">
    <w:name w:val="Quote"/>
    <w:basedOn w:val="Normal"/>
    <w:next w:val="Normal"/>
    <w:link w:val="QuoteChar"/>
    <w:uiPriority w:val="99"/>
    <w:qFormat/>
    <w:rsid w:val="0028789C"/>
    <w:pPr>
      <w:spacing w:before="180" w:after="180"/>
      <w:ind w:left="426"/>
    </w:pPr>
    <w:rPr>
      <w:i/>
      <w:iCs/>
      <w:color w:val="000000"/>
    </w:rPr>
  </w:style>
  <w:style w:type="character" w:customStyle="1" w:styleId="QuoteChar">
    <w:name w:val="Quote Char"/>
    <w:basedOn w:val="DefaultParagraphFont"/>
    <w:link w:val="Quote"/>
    <w:uiPriority w:val="99"/>
    <w:locked/>
    <w:rsid w:val="0028789C"/>
    <w:rPr>
      <w:rFonts w:ascii="Minion Pro" w:hAnsi="Minion Pro" w:cs="Times New Roman"/>
      <w:i/>
      <w:iCs/>
      <w:color w:val="000000"/>
      <w:sz w:val="24"/>
      <w:szCs w:val="24"/>
      <w:lang w:eastAsia="en-AU"/>
    </w:rPr>
  </w:style>
  <w:style w:type="paragraph" w:styleId="TOCHeading">
    <w:name w:val="TOC Heading"/>
    <w:basedOn w:val="Heading1"/>
    <w:next w:val="Normal"/>
    <w:uiPriority w:val="99"/>
    <w:qFormat/>
    <w:rsid w:val="00A36146"/>
    <w:pPr>
      <w:spacing w:before="480" w:after="0"/>
      <w:outlineLvl w:val="9"/>
    </w:pPr>
    <w:rPr>
      <w:lang w:val="en-US" w:eastAsia="ja-JP"/>
    </w:rPr>
  </w:style>
  <w:style w:type="paragraph" w:styleId="TOC3">
    <w:name w:val="toc 3"/>
    <w:basedOn w:val="TOC2"/>
    <w:next w:val="Normal"/>
    <w:autoRedefine/>
    <w:uiPriority w:val="99"/>
    <w:rsid w:val="00DA0C54"/>
    <w:pPr>
      <w:ind w:left="709"/>
    </w:pPr>
    <w:rPr>
      <w:i/>
    </w:rPr>
  </w:style>
  <w:style w:type="paragraph" w:styleId="TOC1">
    <w:name w:val="toc 1"/>
    <w:basedOn w:val="Normal"/>
    <w:next w:val="Normal"/>
    <w:autoRedefine/>
    <w:uiPriority w:val="99"/>
    <w:rsid w:val="003A006B"/>
    <w:pPr>
      <w:tabs>
        <w:tab w:val="right" w:leader="dot" w:pos="8210"/>
      </w:tabs>
      <w:spacing w:after="100"/>
    </w:pPr>
    <w:rPr>
      <w:rFonts w:ascii="Calibri" w:hAnsi="Calibri" w:cs="Calibri"/>
      <w:sz w:val="28"/>
    </w:rPr>
  </w:style>
  <w:style w:type="paragraph" w:styleId="TOC2">
    <w:name w:val="toc 2"/>
    <w:basedOn w:val="Normal"/>
    <w:next w:val="Normal"/>
    <w:autoRedefine/>
    <w:uiPriority w:val="99"/>
    <w:rsid w:val="0021492A"/>
    <w:pPr>
      <w:tabs>
        <w:tab w:val="right" w:leader="dot" w:pos="8210"/>
      </w:tabs>
      <w:spacing w:after="100"/>
      <w:ind w:left="425"/>
    </w:pPr>
    <w:rPr>
      <w:rFonts w:cs="Calibri"/>
      <w:noProof/>
      <w:sz w:val="24"/>
    </w:rPr>
  </w:style>
  <w:style w:type="paragraph" w:styleId="ListParagraph">
    <w:name w:val="List Paragraph"/>
    <w:basedOn w:val="Normal"/>
    <w:uiPriority w:val="34"/>
    <w:qFormat/>
    <w:rsid w:val="001674AE"/>
    <w:pPr>
      <w:numPr>
        <w:numId w:val="8"/>
      </w:numPr>
      <w:spacing w:after="240"/>
      <w:ind w:left="425" w:hanging="425"/>
    </w:pPr>
    <w:rPr>
      <w:rFonts w:eastAsia="Calibri"/>
      <w:lang w:eastAsia="en-US"/>
    </w:rPr>
  </w:style>
  <w:style w:type="paragraph" w:styleId="ListBullet">
    <w:name w:val="List Bullet"/>
    <w:basedOn w:val="Normal"/>
    <w:uiPriority w:val="99"/>
    <w:rsid w:val="0028789C"/>
    <w:pPr>
      <w:numPr>
        <w:numId w:val="7"/>
      </w:numPr>
      <w:spacing w:after="120"/>
      <w:ind w:left="426" w:hanging="426"/>
      <w:contextualSpacing/>
    </w:pPr>
  </w:style>
  <w:style w:type="paragraph" w:styleId="ListBullet2">
    <w:name w:val="List Bullet 2"/>
    <w:basedOn w:val="Normal"/>
    <w:uiPriority w:val="99"/>
    <w:rsid w:val="0028789C"/>
    <w:pPr>
      <w:numPr>
        <w:numId w:val="1"/>
      </w:numPr>
      <w:tabs>
        <w:tab w:val="clear" w:pos="643"/>
        <w:tab w:val="num" w:pos="1985"/>
      </w:tabs>
      <w:spacing w:before="120" w:after="120"/>
      <w:ind w:left="851" w:hanging="425"/>
      <w:contextualSpacing/>
    </w:pPr>
  </w:style>
  <w:style w:type="paragraph" w:styleId="ListBullet3">
    <w:name w:val="List Bullet 3"/>
    <w:basedOn w:val="Normal"/>
    <w:uiPriority w:val="99"/>
    <w:rsid w:val="0028789C"/>
    <w:pPr>
      <w:numPr>
        <w:numId w:val="2"/>
      </w:numPr>
      <w:tabs>
        <w:tab w:val="clear" w:pos="926"/>
        <w:tab w:val="num" w:pos="1276"/>
      </w:tabs>
      <w:spacing w:before="120" w:after="120"/>
      <w:ind w:left="1276" w:hanging="425"/>
      <w:contextualSpacing/>
    </w:pPr>
  </w:style>
  <w:style w:type="paragraph" w:styleId="ListBullet4">
    <w:name w:val="List Bullet 4"/>
    <w:basedOn w:val="Normal"/>
    <w:uiPriority w:val="99"/>
    <w:rsid w:val="0028789C"/>
    <w:pPr>
      <w:numPr>
        <w:numId w:val="3"/>
      </w:numPr>
      <w:tabs>
        <w:tab w:val="left" w:pos="1701"/>
      </w:tabs>
      <w:ind w:left="1701" w:hanging="425"/>
      <w:contextualSpacing/>
    </w:pPr>
  </w:style>
  <w:style w:type="paragraph" w:styleId="ListBullet5">
    <w:name w:val="List Bullet 5"/>
    <w:basedOn w:val="Normal"/>
    <w:uiPriority w:val="99"/>
    <w:rsid w:val="0028789C"/>
    <w:pPr>
      <w:numPr>
        <w:numId w:val="4"/>
      </w:numPr>
      <w:ind w:left="2127" w:hanging="426"/>
      <w:contextualSpacing/>
    </w:pPr>
  </w:style>
  <w:style w:type="paragraph" w:styleId="TOC4">
    <w:name w:val="toc 4"/>
    <w:basedOn w:val="TOC3"/>
    <w:next w:val="Normal"/>
    <w:autoRedefine/>
    <w:uiPriority w:val="99"/>
    <w:rsid w:val="00DA0C54"/>
  </w:style>
  <w:style w:type="paragraph" w:styleId="TOC5">
    <w:name w:val="toc 5"/>
    <w:basedOn w:val="TOC4"/>
    <w:next w:val="Normal"/>
    <w:autoRedefine/>
    <w:uiPriority w:val="99"/>
    <w:rsid w:val="00DA0C54"/>
    <w:rPr>
      <w:sz w:val="21"/>
    </w:rPr>
  </w:style>
  <w:style w:type="paragraph" w:styleId="TOC6">
    <w:name w:val="toc 6"/>
    <w:basedOn w:val="TOC5"/>
    <w:next w:val="Normal"/>
    <w:autoRedefine/>
    <w:uiPriority w:val="99"/>
    <w:rsid w:val="00DA0C54"/>
  </w:style>
  <w:style w:type="paragraph" w:styleId="TOC7">
    <w:name w:val="toc 7"/>
    <w:basedOn w:val="TOC6"/>
    <w:next w:val="Normal"/>
    <w:autoRedefine/>
    <w:uiPriority w:val="99"/>
    <w:rsid w:val="00DA0C54"/>
  </w:style>
  <w:style w:type="paragraph" w:styleId="TOC8">
    <w:name w:val="toc 8"/>
    <w:basedOn w:val="TOC7"/>
    <w:next w:val="Normal"/>
    <w:autoRedefine/>
    <w:uiPriority w:val="99"/>
    <w:rsid w:val="00DA0C54"/>
  </w:style>
  <w:style w:type="paragraph" w:styleId="TOC9">
    <w:name w:val="toc 9"/>
    <w:basedOn w:val="Normal"/>
    <w:next w:val="Normal"/>
    <w:autoRedefine/>
    <w:uiPriority w:val="99"/>
    <w:semiHidden/>
    <w:rsid w:val="00B75E84"/>
    <w:pPr>
      <w:spacing w:after="100"/>
      <w:ind w:left="1276"/>
    </w:pPr>
  </w:style>
  <w:style w:type="paragraph" w:styleId="ListContinue2">
    <w:name w:val="List Continue 2"/>
    <w:basedOn w:val="Normal"/>
    <w:uiPriority w:val="99"/>
    <w:rsid w:val="00BE72DE"/>
    <w:pPr>
      <w:spacing w:after="120"/>
      <w:ind w:left="426"/>
      <w:contextualSpacing/>
    </w:pPr>
  </w:style>
  <w:style w:type="paragraph" w:styleId="NormalWeb">
    <w:name w:val="Normal (Web)"/>
    <w:basedOn w:val="Normal"/>
    <w:uiPriority w:val="99"/>
    <w:rsid w:val="00E67408"/>
  </w:style>
  <w:style w:type="character" w:styleId="Emphasis">
    <w:name w:val="Emphasis"/>
    <w:basedOn w:val="DefaultParagraphFont"/>
    <w:uiPriority w:val="99"/>
    <w:qFormat/>
    <w:rsid w:val="00377839"/>
    <w:rPr>
      <w:rFonts w:cs="Times New Roman"/>
      <w:i/>
      <w:iCs/>
    </w:rPr>
  </w:style>
  <w:style w:type="character" w:styleId="IntenseEmphasis">
    <w:name w:val="Intense Emphasis"/>
    <w:basedOn w:val="DefaultParagraphFont"/>
    <w:uiPriority w:val="99"/>
    <w:qFormat/>
    <w:rsid w:val="00CE451F"/>
    <w:rPr>
      <w:rFonts w:cs="Times New Roman"/>
      <w:b/>
      <w:bCs/>
      <w:i/>
      <w:iCs/>
      <w:color w:val="000000"/>
    </w:rPr>
  </w:style>
  <w:style w:type="paragraph" w:styleId="IntenseQuote">
    <w:name w:val="Intense Quote"/>
    <w:basedOn w:val="Normal"/>
    <w:next w:val="Normal"/>
    <w:link w:val="IntenseQuoteChar"/>
    <w:uiPriority w:val="99"/>
    <w:qFormat/>
    <w:rsid w:val="0021492A"/>
    <w:pPr>
      <w:pBdr>
        <w:bottom w:val="single" w:sz="4" w:space="10" w:color="7F7F7F"/>
      </w:pBdr>
      <w:spacing w:before="200" w:after="280"/>
      <w:ind w:left="426" w:right="567"/>
    </w:pPr>
    <w:rPr>
      <w:rFonts w:cs="Calibri"/>
      <w:bCs/>
      <w:i/>
      <w:iCs/>
      <w:color w:val="000000"/>
      <w:sz w:val="28"/>
    </w:rPr>
  </w:style>
  <w:style w:type="character" w:customStyle="1" w:styleId="IntenseQuoteChar">
    <w:name w:val="Intense Quote Char"/>
    <w:basedOn w:val="DefaultParagraphFont"/>
    <w:link w:val="IntenseQuote"/>
    <w:uiPriority w:val="99"/>
    <w:locked/>
    <w:rsid w:val="0021492A"/>
    <w:rPr>
      <w:rFonts w:eastAsia="Times New Roman" w:cs="Calibri"/>
      <w:bCs/>
      <w:i/>
      <w:iCs/>
      <w:color w:val="000000"/>
      <w:sz w:val="24"/>
      <w:szCs w:val="24"/>
      <w:lang w:eastAsia="en-AU"/>
    </w:rPr>
  </w:style>
  <w:style w:type="character" w:styleId="Strong">
    <w:name w:val="Strong"/>
    <w:basedOn w:val="DefaultParagraphFont"/>
    <w:uiPriority w:val="99"/>
    <w:qFormat/>
    <w:rsid w:val="00CE451F"/>
    <w:rPr>
      <w:rFonts w:cs="Times New Roman"/>
      <w:b/>
      <w:bCs/>
    </w:rPr>
  </w:style>
  <w:style w:type="paragraph" w:styleId="Subtitle">
    <w:name w:val="Subtitle"/>
    <w:basedOn w:val="Normal"/>
    <w:next w:val="Normal"/>
    <w:link w:val="SubtitleChar"/>
    <w:uiPriority w:val="99"/>
    <w:qFormat/>
    <w:rsid w:val="0021492A"/>
    <w:pPr>
      <w:numPr>
        <w:ilvl w:val="1"/>
      </w:numPr>
    </w:pPr>
    <w:rPr>
      <w:rFonts w:ascii="Calibri" w:eastAsia="Calibri" w:hAnsi="Calibri" w:cs="Calibri"/>
      <w:iCs/>
      <w:smallCaps/>
      <w:spacing w:val="15"/>
      <w:sz w:val="28"/>
    </w:rPr>
  </w:style>
  <w:style w:type="character" w:customStyle="1" w:styleId="SubtitleChar">
    <w:name w:val="Subtitle Char"/>
    <w:basedOn w:val="DefaultParagraphFont"/>
    <w:link w:val="Subtitle"/>
    <w:uiPriority w:val="99"/>
    <w:locked/>
    <w:rsid w:val="0021492A"/>
    <w:rPr>
      <w:rFonts w:eastAsia="Times New Roman" w:cs="Calibri"/>
      <w:iCs/>
      <w:smallCaps/>
      <w:spacing w:val="15"/>
      <w:sz w:val="24"/>
      <w:szCs w:val="24"/>
      <w:lang w:eastAsia="en-AU"/>
    </w:rPr>
  </w:style>
  <w:style w:type="paragraph" w:customStyle="1" w:styleId="Recommendation">
    <w:name w:val="Recommendation"/>
    <w:uiPriority w:val="99"/>
    <w:rsid w:val="006049BA"/>
    <w:pPr>
      <w:pBdr>
        <w:bottom w:val="single" w:sz="4" w:space="10" w:color="808080"/>
      </w:pBdr>
      <w:autoSpaceDE w:val="0"/>
      <w:autoSpaceDN w:val="0"/>
      <w:adjustRightInd w:val="0"/>
      <w:spacing w:after="360" w:line="276" w:lineRule="auto"/>
    </w:pPr>
    <w:rPr>
      <w:rFonts w:cs="ArialNarrow"/>
      <w:lang w:eastAsia="en-US"/>
    </w:rPr>
  </w:style>
  <w:style w:type="paragraph" w:customStyle="1" w:styleId="Recomendationheading">
    <w:name w:val="Recomendation heading"/>
    <w:basedOn w:val="Recommendation"/>
    <w:next w:val="Recommendation"/>
    <w:uiPriority w:val="99"/>
    <w:rsid w:val="0021492A"/>
    <w:pPr>
      <w:keepNext/>
      <w:pBdr>
        <w:top w:val="single" w:sz="4" w:space="10" w:color="808080"/>
        <w:bottom w:val="none" w:sz="0" w:space="0" w:color="auto"/>
      </w:pBdr>
      <w:spacing w:after="120"/>
    </w:pPr>
    <w:rPr>
      <w:rFonts w:cs="Calibri"/>
      <w:caps/>
      <w:sz w:val="28"/>
    </w:rPr>
  </w:style>
  <w:style w:type="character" w:styleId="EndnoteReference">
    <w:name w:val="endnote reference"/>
    <w:basedOn w:val="DefaultParagraphFont"/>
    <w:uiPriority w:val="99"/>
    <w:rsid w:val="00377839"/>
    <w:rPr>
      <w:rFonts w:cs="Times New Roman"/>
      <w:vertAlign w:val="superscript"/>
    </w:rPr>
  </w:style>
  <w:style w:type="character" w:styleId="SubtleReference">
    <w:name w:val="Subtle Reference"/>
    <w:basedOn w:val="DefaultParagraphFont"/>
    <w:uiPriority w:val="99"/>
    <w:qFormat/>
    <w:rsid w:val="005F1AF0"/>
    <w:rPr>
      <w:rFonts w:cs="Times New Roman"/>
      <w:smallCaps/>
      <w:color w:val="000000"/>
      <w:u w:val="single"/>
    </w:rPr>
  </w:style>
  <w:style w:type="character" w:styleId="IntenseReference">
    <w:name w:val="Intense Reference"/>
    <w:basedOn w:val="DefaultParagraphFont"/>
    <w:uiPriority w:val="99"/>
    <w:qFormat/>
    <w:rsid w:val="005F1AF0"/>
    <w:rPr>
      <w:rFonts w:cs="Times New Roman"/>
      <w:b/>
      <w:bCs/>
      <w:smallCaps/>
      <w:color w:val="auto"/>
      <w:spacing w:val="5"/>
      <w:u w:val="single"/>
    </w:rPr>
  </w:style>
  <w:style w:type="paragraph" w:styleId="Header">
    <w:name w:val="header"/>
    <w:basedOn w:val="Normal"/>
    <w:link w:val="HeaderChar"/>
    <w:uiPriority w:val="99"/>
    <w:rsid w:val="005F1AF0"/>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5F1AF0"/>
    <w:rPr>
      <w:rFonts w:ascii="Minion Pro" w:hAnsi="Minion Pro" w:cs="Times New Roman"/>
      <w:sz w:val="24"/>
      <w:szCs w:val="24"/>
      <w:lang w:eastAsia="en-AU"/>
    </w:rPr>
  </w:style>
  <w:style w:type="paragraph" w:styleId="PlainText">
    <w:name w:val="Plain Text"/>
    <w:basedOn w:val="Normal"/>
    <w:link w:val="PlainTextChar"/>
    <w:uiPriority w:val="99"/>
    <w:semiHidden/>
    <w:rsid w:val="00A22FCD"/>
    <w:pPr>
      <w:spacing w:before="0" w:after="0" w:line="240" w:lineRule="auto"/>
    </w:pPr>
    <w:rPr>
      <w:rFonts w:cs="Consolas"/>
      <w:szCs w:val="21"/>
    </w:rPr>
  </w:style>
  <w:style w:type="character" w:customStyle="1" w:styleId="PlainTextChar">
    <w:name w:val="Plain Text Char"/>
    <w:basedOn w:val="DefaultParagraphFont"/>
    <w:link w:val="PlainText"/>
    <w:uiPriority w:val="99"/>
    <w:semiHidden/>
    <w:locked/>
    <w:rsid w:val="00A22FCD"/>
    <w:rPr>
      <w:rFonts w:ascii="Minion Pro" w:hAnsi="Minion Pro" w:cs="Consolas"/>
      <w:sz w:val="21"/>
      <w:szCs w:val="21"/>
      <w:lang w:eastAsia="en-AU"/>
    </w:rPr>
  </w:style>
  <w:style w:type="paragraph" w:styleId="BlockText">
    <w:name w:val="Block Text"/>
    <w:basedOn w:val="Normal"/>
    <w:uiPriority w:val="99"/>
    <w:rsid w:val="00F60363"/>
    <w:pPr>
      <w:pBdr>
        <w:top w:val="single" w:sz="2" w:space="12" w:color="808080"/>
        <w:bottom w:val="single" w:sz="2" w:space="12" w:color="808080"/>
      </w:pBdr>
    </w:pPr>
    <w:rPr>
      <w:rFonts w:eastAsia="Calibri" w:cs="Cordia New"/>
      <w:i/>
      <w:iCs/>
    </w:rPr>
  </w:style>
  <w:style w:type="paragraph" w:styleId="ListNumber">
    <w:name w:val="List Number"/>
    <w:basedOn w:val="Normal"/>
    <w:uiPriority w:val="99"/>
    <w:semiHidden/>
    <w:rsid w:val="0039436C"/>
    <w:pPr>
      <w:numPr>
        <w:numId w:val="5"/>
      </w:numPr>
      <w:ind w:left="357" w:hanging="357"/>
      <w:contextualSpacing/>
    </w:pPr>
  </w:style>
  <w:style w:type="character" w:styleId="BookTitle">
    <w:name w:val="Book Title"/>
    <w:basedOn w:val="DefaultParagraphFont"/>
    <w:uiPriority w:val="99"/>
    <w:qFormat/>
    <w:rsid w:val="003A006B"/>
    <w:rPr>
      <w:rFonts w:ascii="Calibri" w:hAnsi="Calibri" w:cs="Calibri"/>
      <w:b/>
      <w:bCs/>
      <w:caps/>
      <w:spacing w:val="5"/>
      <w:sz w:val="21"/>
      <w:szCs w:val="21"/>
    </w:rPr>
  </w:style>
  <w:style w:type="character" w:styleId="PlaceholderText">
    <w:name w:val="Placeholder Text"/>
    <w:basedOn w:val="DefaultParagraphFont"/>
    <w:uiPriority w:val="99"/>
    <w:semiHidden/>
    <w:rsid w:val="000A5CA6"/>
    <w:rPr>
      <w:rFonts w:cs="Times New Roman"/>
      <w:color w:val="808080"/>
    </w:rPr>
  </w:style>
  <w:style w:type="paragraph" w:styleId="TOAHeading">
    <w:name w:val="toa heading"/>
    <w:basedOn w:val="TOCHeading"/>
    <w:next w:val="Normal"/>
    <w:uiPriority w:val="99"/>
    <w:rsid w:val="00DA0C54"/>
  </w:style>
  <w:style w:type="character" w:styleId="FollowedHyperlink">
    <w:name w:val="FollowedHyperlink"/>
    <w:basedOn w:val="DefaultParagraphFont"/>
    <w:uiPriority w:val="99"/>
    <w:rsid w:val="00D43081"/>
    <w:rPr>
      <w:rFonts w:cs="Times New Roman"/>
      <w:u w:val="single"/>
    </w:rPr>
  </w:style>
  <w:style w:type="character" w:styleId="CommentReference">
    <w:name w:val="annotation reference"/>
    <w:basedOn w:val="DefaultParagraphFont"/>
    <w:uiPriority w:val="99"/>
    <w:semiHidden/>
    <w:rsid w:val="008A57B6"/>
    <w:rPr>
      <w:rFonts w:cs="Times New Roman"/>
      <w:sz w:val="16"/>
      <w:szCs w:val="16"/>
    </w:rPr>
  </w:style>
  <w:style w:type="paragraph" w:styleId="CommentText">
    <w:name w:val="annotation text"/>
    <w:basedOn w:val="Normal"/>
    <w:link w:val="CommentTextChar"/>
    <w:uiPriority w:val="99"/>
    <w:semiHidden/>
    <w:rsid w:val="008A57B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57B6"/>
    <w:rPr>
      <w:rFonts w:ascii="Cambria" w:hAnsi="Cambria" w:cs="Times New Roman"/>
      <w:sz w:val="20"/>
      <w:szCs w:val="20"/>
      <w:lang w:eastAsia="en-AU"/>
    </w:rPr>
  </w:style>
  <w:style w:type="paragraph" w:styleId="CommentSubject">
    <w:name w:val="annotation subject"/>
    <w:basedOn w:val="CommentText"/>
    <w:next w:val="CommentText"/>
    <w:link w:val="CommentSubjectChar"/>
    <w:uiPriority w:val="99"/>
    <w:semiHidden/>
    <w:rsid w:val="008A57B6"/>
    <w:rPr>
      <w:b/>
      <w:bCs/>
    </w:rPr>
  </w:style>
  <w:style w:type="character" w:customStyle="1" w:styleId="CommentSubjectChar">
    <w:name w:val="Comment Subject Char"/>
    <w:basedOn w:val="CommentTextChar"/>
    <w:link w:val="CommentSubject"/>
    <w:uiPriority w:val="99"/>
    <w:semiHidden/>
    <w:locked/>
    <w:rsid w:val="008A57B6"/>
    <w:rPr>
      <w:rFonts w:ascii="Cambria" w:hAnsi="Cambria" w:cs="Times New Roman"/>
      <w:b/>
      <w:bCs/>
      <w:sz w:val="20"/>
      <w:szCs w:val="20"/>
      <w:lang w:eastAsia="en-AU"/>
    </w:rPr>
  </w:style>
  <w:style w:type="paragraph" w:customStyle="1" w:styleId="ADAHeading2">
    <w:name w:val="ADA Heading 2"/>
    <w:basedOn w:val="Normal"/>
    <w:uiPriority w:val="99"/>
    <w:rsid w:val="00CE1147"/>
    <w:pPr>
      <w:keepNext/>
      <w:spacing w:before="0" w:after="240" w:line="240" w:lineRule="auto"/>
    </w:pPr>
    <w:rPr>
      <w:rFonts w:ascii="Arial Narrow" w:hAnsi="Arial Narrow"/>
      <w:b/>
      <w:sz w:val="25"/>
      <w:lang w:eastAsia="en-US"/>
    </w:rPr>
  </w:style>
  <w:style w:type="paragraph" w:styleId="HTMLPreformatted">
    <w:name w:val="HTML Preformatted"/>
    <w:basedOn w:val="Normal"/>
    <w:link w:val="HTMLPreformattedChar"/>
    <w:uiPriority w:val="99"/>
    <w:semiHidden/>
    <w:rsid w:val="00500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sz w:val="20"/>
      <w:szCs w:val="20"/>
      <w:lang w:val="en-US" w:eastAsia="zh-CN" w:bidi="th-TH"/>
    </w:rPr>
  </w:style>
  <w:style w:type="character" w:customStyle="1" w:styleId="HTMLPreformattedChar">
    <w:name w:val="HTML Preformatted Char"/>
    <w:basedOn w:val="DefaultParagraphFont"/>
    <w:link w:val="HTMLPreformatted"/>
    <w:uiPriority w:val="99"/>
    <w:semiHidden/>
    <w:locked/>
    <w:rsid w:val="00500FC7"/>
    <w:rPr>
      <w:rFonts w:ascii="Courier New" w:hAnsi="Courier New" w:cs="Courier New"/>
      <w:sz w:val="20"/>
      <w:szCs w:val="20"/>
      <w:lang w:val="en-US" w:eastAsia="zh-CN" w:bidi="th-TH"/>
    </w:rPr>
  </w:style>
  <w:style w:type="paragraph" w:styleId="MessageHeader">
    <w:name w:val="Message Header"/>
    <w:basedOn w:val="Normal"/>
    <w:link w:val="MessageHeaderChar"/>
    <w:uiPriority w:val="99"/>
    <w:semiHidden/>
    <w:rsid w:val="00AB0017"/>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eastAsia="Calibri" w:cs="Angsana New"/>
      <w:sz w:val="24"/>
    </w:rPr>
  </w:style>
  <w:style w:type="character" w:customStyle="1" w:styleId="MessageHeaderChar">
    <w:name w:val="Message Header Char"/>
    <w:basedOn w:val="DefaultParagraphFont"/>
    <w:link w:val="MessageHeader"/>
    <w:uiPriority w:val="99"/>
    <w:semiHidden/>
    <w:locked/>
    <w:rsid w:val="00AB0017"/>
    <w:rPr>
      <w:rFonts w:ascii="Cambria" w:eastAsia="Times New Roman" w:hAnsi="Cambria" w:cs="Angsana New"/>
      <w:sz w:val="24"/>
      <w:szCs w:val="24"/>
      <w:shd w:val="pct20" w:color="auto" w:fill="auto"/>
      <w:lang w:eastAsia="en-AU" w:bidi="th-TH"/>
    </w:rPr>
  </w:style>
  <w:style w:type="numbering" w:customStyle="1" w:styleId="Style1">
    <w:name w:val="Style1"/>
    <w:rsid w:val="00A1564A"/>
    <w:pPr>
      <w:numPr>
        <w:numId w:val="9"/>
      </w:numPr>
    </w:pPr>
  </w:style>
  <w:style w:type="numbering" w:styleId="1ai">
    <w:name w:val="Outline List 1"/>
    <w:basedOn w:val="NoList"/>
    <w:locked/>
    <w:rsid w:val="00A1564A"/>
    <w:pPr>
      <w:numPr>
        <w:numId w:val="6"/>
      </w:numPr>
    </w:pPr>
  </w:style>
  <w:style w:type="paragraph" w:customStyle="1" w:styleId="ADArecommendationbox">
    <w:name w:val="ADA recommendation box"/>
    <w:basedOn w:val="Normal"/>
    <w:rsid w:val="00745C1D"/>
    <w:pPr>
      <w:pBdr>
        <w:top w:val="single" w:sz="4" w:space="6" w:color="auto"/>
        <w:left w:val="single" w:sz="4" w:space="4" w:color="auto"/>
        <w:bottom w:val="single" w:sz="4" w:space="6" w:color="auto"/>
        <w:right w:val="single" w:sz="4" w:space="4" w:color="auto"/>
      </w:pBdr>
      <w:shd w:val="clear" w:color="auto" w:fill="C0C0C0"/>
      <w:spacing w:before="0" w:after="240" w:line="240" w:lineRule="auto"/>
      <w:ind w:left="680"/>
    </w:pPr>
    <w:rPr>
      <w:rFonts w:ascii="Times New Roman" w:eastAsia="SimSu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40785">
      <w:marLeft w:val="0"/>
      <w:marRight w:val="0"/>
      <w:marTop w:val="0"/>
      <w:marBottom w:val="0"/>
      <w:divBdr>
        <w:top w:val="none" w:sz="0" w:space="0" w:color="auto"/>
        <w:left w:val="none" w:sz="0" w:space="0" w:color="auto"/>
        <w:bottom w:val="none" w:sz="0" w:space="0" w:color="auto"/>
        <w:right w:val="none" w:sz="0" w:space="0" w:color="auto"/>
      </w:divBdr>
    </w:div>
    <w:div w:id="522940786">
      <w:marLeft w:val="0"/>
      <w:marRight w:val="0"/>
      <w:marTop w:val="0"/>
      <w:marBottom w:val="0"/>
      <w:divBdr>
        <w:top w:val="none" w:sz="0" w:space="0" w:color="auto"/>
        <w:left w:val="none" w:sz="0" w:space="0" w:color="auto"/>
        <w:bottom w:val="none" w:sz="0" w:space="0" w:color="auto"/>
        <w:right w:val="none" w:sz="0" w:space="0" w:color="auto"/>
      </w:divBdr>
    </w:div>
    <w:div w:id="522940787">
      <w:marLeft w:val="0"/>
      <w:marRight w:val="0"/>
      <w:marTop w:val="0"/>
      <w:marBottom w:val="0"/>
      <w:divBdr>
        <w:top w:val="none" w:sz="0" w:space="0" w:color="auto"/>
        <w:left w:val="none" w:sz="0" w:space="0" w:color="auto"/>
        <w:bottom w:val="none" w:sz="0" w:space="0" w:color="auto"/>
        <w:right w:val="none" w:sz="0" w:space="0" w:color="auto"/>
      </w:divBdr>
    </w:div>
    <w:div w:id="522940788">
      <w:marLeft w:val="0"/>
      <w:marRight w:val="0"/>
      <w:marTop w:val="0"/>
      <w:marBottom w:val="0"/>
      <w:divBdr>
        <w:top w:val="none" w:sz="0" w:space="0" w:color="auto"/>
        <w:left w:val="none" w:sz="0" w:space="0" w:color="auto"/>
        <w:bottom w:val="none" w:sz="0" w:space="0" w:color="auto"/>
        <w:right w:val="none" w:sz="0" w:space="0" w:color="auto"/>
      </w:divBdr>
    </w:div>
    <w:div w:id="522940789">
      <w:marLeft w:val="0"/>
      <w:marRight w:val="0"/>
      <w:marTop w:val="0"/>
      <w:marBottom w:val="0"/>
      <w:divBdr>
        <w:top w:val="none" w:sz="0" w:space="0" w:color="auto"/>
        <w:left w:val="none" w:sz="0" w:space="0" w:color="auto"/>
        <w:bottom w:val="none" w:sz="0" w:space="0" w:color="auto"/>
        <w:right w:val="none" w:sz="0" w:space="0" w:color="auto"/>
      </w:divBdr>
    </w:div>
    <w:div w:id="52294079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alrc.gov.au/sites/default/files/subs/189._org_ampal.pdf" TargetMode="External"/><Relationship Id="rId4" Type="http://schemas.openxmlformats.org/officeDocument/2006/relationships/hyperlink" Target="http://www.apra-amcos.com.au/downloads/file/ABOUT/APRA_AMCOS%20Submission_Convergence%20Review_28.10.11.pdf" TargetMode="External"/><Relationship Id="rId5" Type="http://schemas.openxmlformats.org/officeDocument/2006/relationships/hyperlink" Target="http://www.alrc.gov.au/sites/default/files/subs/165._org_accc.pdf" TargetMode="External"/><Relationship Id="rId6" Type="http://schemas.openxmlformats.org/officeDocument/2006/relationships/hyperlink" Target="http://www.screenrights.org/sites/default/files/uploads/CollectingSocieties_Code_Reviewers_Report_Final20Mar13.pdf" TargetMode="External"/><Relationship Id="rId7" Type="http://schemas.openxmlformats.org/officeDocument/2006/relationships/hyperlink" Target="http://www.apra-amcos.com.au/downloads/file/ABOUT/APRA-Distribution-Practices.pdf" TargetMode="External"/><Relationship Id="rId8" Type="http://schemas.openxmlformats.org/officeDocument/2006/relationships/hyperlink" Target="http://digital.org.au/sites/digital.org.au/files/documents/20100302ADAALCC-ACCCdraftdeterminationforAPRA.pdf" TargetMode="External"/><Relationship Id="rId1" Type="http://schemas.openxmlformats.org/officeDocument/2006/relationships/hyperlink" Target="http://www.alrc.gov.au/sites/default/files/subs/247._org_apra_amcos_correction.pdf" TargetMode="External"/><Relationship Id="rId2" Type="http://schemas.openxmlformats.org/officeDocument/2006/relationships/hyperlink" Target="http://www.alrc.gov.au/sites/default/files/subs/241._org_ari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Clients\ada\ADA_Finished%20art\Word%20template\FA_ADA%20-%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EDF3A-BFE4-4841-B452-AEE6118F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\Clients\ada\ADA_Finished art\Word template\FA_ADA - submission template.dotx</Template>
  <TotalTime>4</TotalTime>
  <Pages>12</Pages>
  <Words>2694</Words>
  <Characters>15356</Characters>
  <Application>Microsoft Macintosh Word</Application>
  <DocSecurity>0</DocSecurity>
  <Lines>127</Lines>
  <Paragraphs>36</Paragraphs>
  <ScaleCrop>false</ScaleCrop>
  <Company>National Library of Australia</Company>
  <LinksUpToDate>false</LinksUpToDate>
  <CharactersWithSpaces>18014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into IT pricing</dc:title>
  <dc:subject/>
  <dc:creator>Eloise Menzies</dc:creator>
  <cp:keywords/>
  <dc:description/>
  <cp:lastModifiedBy>Aaron Maras</cp:lastModifiedBy>
  <cp:revision>2</cp:revision>
  <cp:lastPrinted>2012-08-16T02:15:00Z</cp:lastPrinted>
  <dcterms:created xsi:type="dcterms:W3CDTF">2013-06-01T04:44:00Z</dcterms:created>
  <dcterms:modified xsi:type="dcterms:W3CDTF">2013-06-01T04:44:00Z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-1603656612</vt:i4>
  </property>
  <property fmtid="{D5CDD505-2E9C-101B-9397-08002B2CF9AE}" pid="3" name="_AdHocReviewCycleID">
    <vt:i4>1952912681</vt:i4>
  </property>
  <property fmtid="{D5CDD505-2E9C-101B-9397-08002B2CF9AE}" pid="4" name="_NewReviewCycle">
    <vt:lpwstr/>
  </property>
  <property fmtid="{D5CDD505-2E9C-101B-9397-08002B2CF9AE}" pid="5" name="_EmailSubject">
    <vt:lpwstr>doing all the things</vt:lpwstr>
  </property>
  <property fmtid="{D5CDD505-2E9C-101B-9397-08002B2CF9AE}" pid="6" name="_AuthorEmail">
    <vt:lpwstr>EBROAD@nla.gov.au</vt:lpwstr>
  </property>
  <property fmtid="{D5CDD505-2E9C-101B-9397-08002B2CF9AE}" pid="7" name="_AuthorEmailDisplayName">
    <vt:lpwstr>Ellen Broad</vt:lpwstr>
  </property>
  <property fmtid="{D5CDD505-2E9C-101B-9397-08002B2CF9AE}" pid="8" name="_PreviousAdHocReviewCycleID">
    <vt:i4>-1902215139</vt:i4>
  </property>
</Properties>
</file>